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57s9sivs45ro" w:id="0"/>
      <w:bookmarkEnd w:id="0"/>
      <w:r w:rsidDel="00000000" w:rsidR="00000000" w:rsidRPr="00000000">
        <w:rPr>
          <w:rFonts w:ascii="Arial Unicode MS" w:cs="Arial Unicode MS" w:eastAsia="Arial Unicode MS" w:hAnsi="Arial Unicode MS"/>
          <w:rtl w:val="0"/>
        </w:rPr>
        <w:t xml:space="preserve">全球流亡政治与中国海外民运的结构性困境深度解析报告</w:t>
      </w:r>
    </w:p>
    <w:p w:rsidR="00000000" w:rsidDel="00000000" w:rsidP="00000000" w:rsidRDefault="00000000" w:rsidRPr="00000000" w14:paraId="00000002">
      <w:pPr>
        <w:pStyle w:val="Heading4"/>
        <w:rPr/>
      </w:pPr>
      <w:bookmarkStart w:colFirst="0" w:colLast="0" w:name="_ce8hjf7pmx4k" w:id="1"/>
      <w:bookmarkEnd w:id="1"/>
      <w:r w:rsidDel="00000000" w:rsidR="00000000" w:rsidRPr="00000000">
        <w:rPr>
          <w:rFonts w:ascii="Arial Unicode MS" w:cs="Arial Unicode MS" w:eastAsia="Arial Unicode MS" w:hAnsi="Arial Unicode MS"/>
          <w:rtl w:val="0"/>
        </w:rPr>
        <w:t xml:space="preserve">1. 引言：流亡政治的悖论与现实迷雾</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在全球地缘政治的边缘地带，流亡政治展现出一种显著的悖论现象：众多在母国威权环境下不畏牢狱、暴力乃至生命威胁的政治理想主义者，在进入安全、法治的海外环境并获得资源后，往往陷入财务丑闻、道德滑坡或组织内斗。这种从“理想先锋”到“利益寻租者”的蜕变，不应仅被归结为个人人性的卑劣，而更应被视为一种普遍存在的“结构性困境”。所谓的“结构性困境”，是指当反对运动在物理与社会层面与其基本盘脱钩时，组织由于制度真空、融资路径异化以及心理补偿机制的叠加，而陷入的一种不可避免的系统性功能失调。这一现象在俄罗斯、伊朗、叙利亚、白俄罗斯等国的流亡团体中均有体现。本文旨在从政治学与组织行为学的视角，剖析这一困境的深层逻辑，尤其是中国海外民运所面临的特殊挑战。</w:t>
      </w:r>
    </w:p>
    <w:p w:rsidR="00000000" w:rsidDel="00000000" w:rsidP="00000000" w:rsidRDefault="00000000" w:rsidRPr="00000000" w14:paraId="00000004">
      <w:pPr>
        <w:pStyle w:val="Heading4"/>
        <w:rPr/>
      </w:pPr>
      <w:bookmarkStart w:colFirst="0" w:colLast="0" w:name="_wu7er1duqoxa" w:id="2"/>
      <w:bookmarkEnd w:id="2"/>
      <w:r w:rsidDel="00000000" w:rsidR="00000000" w:rsidRPr="00000000">
        <w:rPr>
          <w:rFonts w:ascii="Arial Unicode MS" w:cs="Arial Unicode MS" w:eastAsia="Arial Unicode MS" w:hAnsi="Arial Unicode MS"/>
          <w:rtl w:val="0"/>
        </w:rPr>
        <w:t xml:space="preserve">2. 中国海外民运的特殊困境：内外“断层”与职业化危机</w:t>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与其他流亡团体（如冷战时期的东欧反对派或种族隔离时期的南非非国大）相比，中国海外民运面临着全球最为严峻的内外断层。</w:t>
      </w:r>
    </w:p>
    <w:p w:rsidR="00000000" w:rsidDel="00000000" w:rsidP="00000000" w:rsidRDefault="00000000" w:rsidRPr="00000000" w14:paraId="00000006">
      <w:pPr>
        <w:pStyle w:val="Heading5"/>
        <w:rPr/>
      </w:pPr>
      <w:bookmarkStart w:colFirst="0" w:colLast="0" w:name="_5xr0jkbabe1f" w:id="3"/>
      <w:bookmarkEnd w:id="3"/>
      <w:r w:rsidDel="00000000" w:rsidR="00000000" w:rsidRPr="00000000">
        <w:rPr>
          <w:rFonts w:ascii="Arial Unicode MS" w:cs="Arial Unicode MS" w:eastAsia="Arial Unicode MS" w:hAnsi="Arial Unicode MS"/>
          <w:rtl w:val="0"/>
        </w:rPr>
        <w:t xml:space="preserve">“有根”与“无根”的流亡形态对比</w:t>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维度,“有根”流亡（如南非、东欧案例）,“无根”流亡（中国海外民运）</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组织根基,以国内为重心，海外作为宣传与筹款的分支,物理与信息链接被严密防火墙切断</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互动频率,资源可有效反哺国内，形成内外共振,认知高度不对称，讨论议题与国内体感脱节</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变革预期,对手（如苏联）衰落可见，具有明确预期,对手长期强势，变革动力面临周期性动摇</w:t>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由于防火墙与社会管控的极端化，海外流亡群体与国内受众之间存在一种“认知的根本性不对称”。此外，历史性的政治冲击（如90年代中期的高通胀、2000年前后的国企下岗潮，以及后来的周、薄政治震荡）虽曾一度引发变革预期，但随后的现实演变不断消解这种期待。当政治变革的预期长时间处于停滞状态，流亡者的生活逻辑便发生了深刻迁移：从基于理想信念的志愿奉献，转向了基于生存压力的“职业化存续”。这种从政治抱负向“职业生存主义”的转变，极大放大了组织对资金和资源的依赖，导致其在缺乏硬性政治成果证明自身价值的情况下，被迫通过“媒体化”与“网红化”在有限的注意力市场中进行内卷式竞争。</w:t>
      </w:r>
    </w:p>
    <w:p w:rsidR="00000000" w:rsidDel="00000000" w:rsidP="00000000" w:rsidRDefault="00000000" w:rsidRPr="00000000" w14:paraId="0000000C">
      <w:pPr>
        <w:pStyle w:val="Heading4"/>
        <w:rPr/>
      </w:pPr>
      <w:bookmarkStart w:colFirst="0" w:colLast="0" w:name="_7pbs8twftiq0" w:id="4"/>
      <w:bookmarkEnd w:id="4"/>
      <w:r w:rsidDel="00000000" w:rsidR="00000000" w:rsidRPr="00000000">
        <w:rPr>
          <w:rFonts w:ascii="Arial Unicode MS" w:cs="Arial Unicode MS" w:eastAsia="Arial Unicode MS" w:hAnsi="Arial Unicode MS"/>
          <w:rtl w:val="0"/>
        </w:rPr>
        <w:t xml:space="preserve">3. 心理陷阱：道德许可效应与道德账本的坍塌</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流亡领袖的道德异化通常并非由于突发性的变节，而是社会心理学中的“道德许可效应”（Moral Licensing Effect）长期作用的结果。</w:t>
      </w:r>
    </w:p>
    <w:p w:rsidR="00000000" w:rsidDel="00000000" w:rsidP="00000000" w:rsidRDefault="00000000" w:rsidRPr="00000000" w14:paraId="0000000E">
      <w:pPr>
        <w:pStyle w:val="Heading5"/>
        <w:rPr/>
      </w:pPr>
      <w:bookmarkStart w:colFirst="0" w:colLast="0" w:name="_feitcgkke83p" w:id="5"/>
      <w:bookmarkEnd w:id="5"/>
      <w:r w:rsidDel="00000000" w:rsidR="00000000" w:rsidRPr="00000000">
        <w:rPr>
          <w:rFonts w:ascii="Arial Unicode MS" w:cs="Arial Unicode MS" w:eastAsia="Arial Unicode MS" w:hAnsi="Arial Unicode MS"/>
          <w:rtl w:val="0"/>
        </w:rPr>
        <w:t xml:space="preserve">道德账本与补偿心理</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多伦多大学的实验研究（如环保产品选择实验及种族歧视招聘实验）表明，当个体认为自己已积累了足够的“道德积分”时，其在后续行为中会倾向于允许自己出现违规行为。对于长期处于高压迫害、曾经历牢狱之灾的流亡领袖而言，这种心理常演变为一种“道德账本”：他们潜意识里认为过去的牺牲（如在狱中吃“酸馒头”）是为事业预付的道德资本，因此在海外享受优渥生活（吃“龙虾”）被视为理所应当的补偿。</w:t>
      </w:r>
    </w:p>
    <w:p w:rsidR="00000000" w:rsidDel="00000000" w:rsidP="00000000" w:rsidRDefault="00000000" w:rsidRPr="00000000" w14:paraId="00000010">
      <w:pPr>
        <w:pStyle w:val="Heading5"/>
        <w:rPr/>
      </w:pPr>
      <w:bookmarkStart w:colFirst="0" w:colLast="0" w:name="_1mei79lxl1br" w:id="6"/>
      <w:bookmarkEnd w:id="6"/>
      <w:r w:rsidDel="00000000" w:rsidR="00000000" w:rsidRPr="00000000">
        <w:rPr>
          <w:rFonts w:ascii="Arial Unicode MS" w:cs="Arial Unicode MS" w:eastAsia="Arial Unicode MS" w:hAnsi="Arial Unicode MS"/>
          <w:rtl w:val="0"/>
        </w:rPr>
        <w:t xml:space="preserve">渐进式的底线滑坡</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这种心理补偿机制往往导致“底线滑坡”。正如美军阿布格拉布监狱虐囚案中的证词所揭示的，人类对道德底线的失守是一个无感的渐进过程。从对第一笔不明捐款的默许，到个人利益与组织公帑的深度缠绕，这种量变最终导致了质的堕落。这种心理倾向超越了个人的意志力，是人类心理结构的普遍弱点。</w:t>
      </w:r>
    </w:p>
    <w:p w:rsidR="00000000" w:rsidDel="00000000" w:rsidP="00000000" w:rsidRDefault="00000000" w:rsidRPr="00000000" w14:paraId="00000012">
      <w:pPr>
        <w:pStyle w:val="Heading4"/>
        <w:rPr/>
      </w:pPr>
      <w:bookmarkStart w:colFirst="0" w:colLast="0" w:name="_n7h90bupn7st" w:id="7"/>
      <w:bookmarkEnd w:id="7"/>
      <w:r w:rsidDel="00000000" w:rsidR="00000000" w:rsidRPr="00000000">
        <w:rPr>
          <w:rFonts w:ascii="Arial Unicode MS" w:cs="Arial Unicode MS" w:eastAsia="Arial Unicode MS" w:hAnsi="Arial Unicode MS"/>
          <w:rtl w:val="0"/>
        </w:rPr>
        <w:t xml:space="preserve">4. 组织建设缺陷：魅力型领导与制度真空</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流亡组织在制度建设上存在天然的缺陷，其权力逻辑往往建立在领袖的个人名望而非契约规则之上。</w:t>
      </w:r>
    </w:p>
    <w:p w:rsidR="00000000" w:rsidDel="00000000" w:rsidP="00000000" w:rsidRDefault="00000000" w:rsidRPr="00000000" w14:paraId="00000014">
      <w:pPr>
        <w:pStyle w:val="Heading5"/>
        <w:rPr/>
      </w:pPr>
      <w:bookmarkStart w:colFirst="0" w:colLast="0" w:name="_y7n7vlpg8awx" w:id="8"/>
      <w:bookmarkEnd w:id="8"/>
      <w:r w:rsidDel="00000000" w:rsidR="00000000" w:rsidRPr="00000000">
        <w:rPr>
          <w:rFonts w:ascii="Arial Unicode MS" w:cs="Arial Unicode MS" w:eastAsia="Arial Unicode MS" w:hAnsi="Arial Unicode MS"/>
          <w:rtl w:val="0"/>
        </w:rPr>
        <w:t xml:space="preserve">问责机制对比分析</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维度,正常政党（如美国共和党、德国基民盟）,流亡政治组织</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问责制度,严格的审计、税务及选举资金法律约束,缺乏独立审计，资金往往由核心小圈子控制</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外部监督,独立媒体、反对党及司法机关的严密监控,监督机制有形无实，缺乏强制力</w:t>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权力合法性,基于制度授权与规则运行,基于“魅力型领导”的个人声望（IP化）</w:t>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这种以纳尔瓦尼、阿拉法特等为代表的“魅力型领导”模式，在运动初期能高效汇聚资源，但其合法性过度依赖领袖个人，导致内部很难建立真正的权力约束机制。阿拉法特去世后留下的巨额不明遗产（据CIA估计在8亿至140亿美元之间）即是财务黑箱的极端例证。在这些组织内部，任何针对资金或决策的理性批评常被贴上“协助敌手”或“政治背叛”的标签，导致质疑者被系统性边缘化。</w:t>
      </w:r>
    </w:p>
    <w:p w:rsidR="00000000" w:rsidDel="00000000" w:rsidP="00000000" w:rsidRDefault="00000000" w:rsidRPr="00000000" w14:paraId="0000001A">
      <w:pPr>
        <w:pStyle w:val="Heading4"/>
        <w:rPr/>
      </w:pPr>
      <w:bookmarkStart w:colFirst="0" w:colLast="0" w:name="_xtrtu0m7v90u" w:id="9"/>
      <w:bookmarkEnd w:id="9"/>
      <w:r w:rsidDel="00000000" w:rsidR="00000000" w:rsidRPr="00000000">
        <w:rPr>
          <w:rFonts w:ascii="Arial Unicode MS" w:cs="Arial Unicode MS" w:eastAsia="Arial Unicode MS" w:hAnsi="Arial Unicode MS"/>
          <w:rtl w:val="0"/>
        </w:rPr>
        <w:t xml:space="preserve">5. 资金来源的“毒药”：三大渠道的异化分析</w:t>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筹资是流亡组织的生命线，但主要的三种资金来源均存在严重的“反噬效应”：</w:t>
      </w:r>
    </w:p>
    <w:p w:rsidR="00000000" w:rsidDel="00000000" w:rsidP="00000000" w:rsidRDefault="00000000" w:rsidRPr="00000000" w14:paraId="0000001C">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国际资助的项目制异化：</w:t>
      </w:r>
      <w:r w:rsidDel="00000000" w:rsidR="00000000" w:rsidRPr="00000000">
        <w:rPr>
          <w:rFonts w:ascii="Arial Unicode MS" w:cs="Arial Unicode MS" w:eastAsia="Arial Unicode MS" w:hAnsi="Arial Unicode MS"/>
          <w:rtl w:val="0"/>
        </w:rPr>
        <w:t xml:space="preserve">  基金会的“KPI驱动”模式迫使流亡组织迎合金主的政治审美。例如，部分俄罗斯流亡组织为了完成立项，生产出诸如“俄罗斯去殖民化”这类极具政治诱惑力但在现实中高度荒谬的“政治爽文”，不仅脱节于母国实际，反而为母国政权的合法性论证提供了宣传口实。</w:t>
      </w:r>
    </w:p>
    <w:p w:rsidR="00000000" w:rsidDel="00000000" w:rsidP="00000000" w:rsidRDefault="00000000" w:rsidRPr="00000000" w14:paraId="0000001D">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民间捐款的网红化趋势：</w:t>
      </w:r>
      <w:r w:rsidDel="00000000" w:rsidR="00000000" w:rsidRPr="00000000">
        <w:rPr>
          <w:rFonts w:ascii="Arial Unicode MS" w:cs="Arial Unicode MS" w:eastAsia="Arial Unicode MS" w:hAnsi="Arial Unicode MS"/>
          <w:rtl w:val="0"/>
        </w:rPr>
        <w:t xml:space="preserve">  为了维持散户支持者的情绪热度，组织被迫提供高强度的情绪价值，从而走向非理性的口号化与极端化（如郭文贵模式）。</w:t>
      </w:r>
    </w:p>
    <w:p w:rsidR="00000000" w:rsidDel="00000000" w:rsidP="00000000" w:rsidRDefault="00000000" w:rsidRPr="00000000" w14:paraId="0000001E">
      <w:pPr>
        <w:numPr>
          <w:ilvl w:val="0"/>
          <w:numId w:val="2"/>
        </w:numPr>
        <w:ind w:left="720" w:hanging="360"/>
        <w:rPr>
          <w:u w:val="none"/>
        </w:rPr>
      </w:pPr>
      <w:r w:rsidDel="00000000" w:rsidR="00000000" w:rsidRPr="00000000">
        <w:rPr>
          <w:rFonts w:ascii="Arial Unicode MS" w:cs="Arial Unicode MS" w:eastAsia="Arial Unicode MS" w:hAnsi="Arial Unicode MS"/>
          <w:b w:val="1"/>
          <w:bCs w:val="1"/>
          <w:rtl w:val="0"/>
        </w:rPr>
        <w:t xml:space="preserve">政治资源变现的私人化：</w:t>
      </w:r>
      <w:r w:rsidDel="00000000" w:rsidR="00000000" w:rsidRPr="00000000">
        <w:rPr>
          <w:rFonts w:ascii="Arial Unicode MS" w:cs="Arial Unicode MS" w:eastAsia="Arial Unicode MS" w:hAnsi="Arial Unicode MS"/>
          <w:rtl w:val="0"/>
        </w:rPr>
        <w:t xml:space="preserve">  领袖利用知名度获取政治资源并将其变现，极易导致公共利益与私人收益的混淆。叙利亚反对派成员穆斯塔法·萨巴格被指控将人道主义援助资金用于在土耳其购置海景豪宅与酒店，便是典型的资源私有化案例。</w:t>
      </w:r>
    </w:p>
    <w:p w:rsidR="00000000" w:rsidDel="00000000" w:rsidP="00000000" w:rsidRDefault="00000000" w:rsidRPr="00000000" w14:paraId="0000001F">
      <w:pPr>
        <w:pStyle w:val="Heading4"/>
        <w:rPr/>
      </w:pPr>
      <w:bookmarkStart w:colFirst="0" w:colLast="0" w:name="_xsz3puch3sjj" w:id="10"/>
      <w:bookmarkEnd w:id="10"/>
      <w:r w:rsidDel="00000000" w:rsidR="00000000" w:rsidRPr="00000000">
        <w:rPr>
          <w:rFonts w:ascii="Arial Unicode MS" w:cs="Arial Unicode MS" w:eastAsia="Arial Unicode MS" w:hAnsi="Arial Unicode MS"/>
          <w:rtl w:val="0"/>
        </w:rPr>
        <w:t xml:space="preserve">6. 外部监督的缺位：以俄罗斯FBK丑闻为例</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即便在法治健全的环境中，外部监督对非政府组织（NGO）的约束亦存在申报制漏洞。2024年俄罗斯FBK组织爆发的丑闻充分说明了这一点：其财务负责人热列兹尼亚克作为逃亡银行家，涉嫌卷走10亿美元资产。此类案例揭示了一种深层的“避风港理论”：流亡组织往往成为污点人员的“洗白工具”。通过资助政治组织，涉嫌经济犯罪的人员得以将自身包装为“政治迫害受害者”，从而利用NGO的法律地位规避跨国引渡。这种将经济犯罪政治化的策略，严重削弱了流亡政治的道德合法性。</w:t>
      </w:r>
    </w:p>
    <w:p w:rsidR="00000000" w:rsidDel="00000000" w:rsidP="00000000" w:rsidRDefault="00000000" w:rsidRPr="00000000" w14:paraId="00000021">
      <w:pPr>
        <w:pStyle w:val="Heading4"/>
        <w:rPr/>
      </w:pPr>
      <w:bookmarkStart w:colFirst="0" w:colLast="0" w:name="_liqckep2431w" w:id="11"/>
      <w:bookmarkEnd w:id="11"/>
      <w:r w:rsidDel="00000000" w:rsidR="00000000" w:rsidRPr="00000000">
        <w:rPr>
          <w:rFonts w:ascii="Arial Unicode MS" w:cs="Arial Unicode MS" w:eastAsia="Arial Unicode MS" w:hAnsi="Arial Unicode MS"/>
          <w:rtl w:val="0"/>
        </w:rPr>
        <w:t xml:space="preserve">7. 存在逻辑：为何困境重重却不会消失？</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尽管丑闻频发且功能失能，流亡政治组织依然能够长期存在，其根源在于其填补了特定的“社会生态位”：</w:t>
      </w:r>
    </w:p>
    <w:p w:rsidR="00000000" w:rsidDel="00000000" w:rsidP="00000000" w:rsidRDefault="00000000" w:rsidRPr="00000000" w14:paraId="00000023">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情感吸铁石效应：</w:t>
      </w:r>
      <w:r w:rsidDel="00000000" w:rsidR="00000000" w:rsidRPr="00000000">
        <w:rPr>
          <w:rFonts w:ascii="Arial Unicode MS" w:cs="Arial Unicode MS" w:eastAsia="Arial Unicode MS" w:hAnsi="Arial Unicode MS"/>
          <w:rtl w:val="0"/>
        </w:rPr>
        <w:t xml:space="preserve">  只要母国内部的表达通道被系统性压制，自然产生的政治不满情绪便无法被消化。这些情绪必然寻找海外出口，而流亡组织则是承载这些无形信任链条的物理节点。</w:t>
      </w:r>
    </w:p>
    <w:p w:rsidR="00000000" w:rsidDel="00000000" w:rsidP="00000000" w:rsidRDefault="00000000" w:rsidRPr="00000000" w14:paraId="00000024">
      <w:pPr>
        <w:numPr>
          <w:ilvl w:val="0"/>
          <w:numId w:val="1"/>
        </w:numPr>
        <w:ind w:left="720" w:hanging="360"/>
        <w:rPr>
          <w:u w:val="none"/>
        </w:rPr>
      </w:pPr>
      <w:r w:rsidDel="00000000" w:rsidR="00000000" w:rsidRPr="00000000">
        <w:rPr>
          <w:rFonts w:ascii="Arial Unicode MS" w:cs="Arial Unicode MS" w:eastAsia="Arial Unicode MS" w:hAnsi="Arial Unicode MS"/>
          <w:b w:val="1"/>
          <w:bCs w:val="1"/>
          <w:rtl w:val="0"/>
        </w:rPr>
        <w:t xml:space="preserve">生态位守恒：</w:t>
      </w:r>
      <w:r w:rsidDel="00000000" w:rsidR="00000000" w:rsidRPr="00000000">
        <w:rPr>
          <w:rFonts w:ascii="Arial Unicode MS" w:cs="Arial Unicode MS" w:eastAsia="Arial Unicode MS" w:hAnsi="Arial Unicode MS"/>
          <w:rtl w:val="0"/>
        </w:rPr>
        <w:t xml:space="preserve">  海外流亡组织作为不满情绪的“节点”，其存在是由社会结构性需求决定的，而非由领导人的素质决定的。只要内部异议空间缺失，即便现有的组织坍塌，也会有新的力量进入这一“生态位”。</w:t>
      </w:r>
    </w:p>
    <w:p w:rsidR="00000000" w:rsidDel="00000000" w:rsidP="00000000" w:rsidRDefault="00000000" w:rsidRPr="00000000" w14:paraId="00000025">
      <w:pPr>
        <w:pStyle w:val="Heading4"/>
        <w:rPr/>
      </w:pPr>
      <w:bookmarkStart w:colFirst="0" w:colLast="0" w:name="_elfp27xv8e8e" w:id="12"/>
      <w:bookmarkEnd w:id="12"/>
      <w:r w:rsidDel="00000000" w:rsidR="00000000" w:rsidRPr="00000000">
        <w:rPr>
          <w:rFonts w:ascii="Arial Unicode MS" w:cs="Arial Unicode MS" w:eastAsia="Arial Unicode MS" w:hAnsi="Arial Unicode MS"/>
          <w:rtl w:val="0"/>
        </w:rPr>
        <w:t xml:space="preserve">8. 结论：从流亡政治走向表达自由</w:t>
      </w:r>
    </w:p>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rtl w:val="0"/>
        </w:rPr>
        <w:t xml:space="preserve">流亡政治的结构性困境——内外脱节、心理异化、制度缺位与资金异化——不仅是特定群体的失败，更是人类政治组织面临的共同难题。这种困境本质上是政治生态不健全的溢出效应。流亡政治组织的最终命运，是随着母国内部表达自由的实现而归于沉寂。在那一天到来之前，它们将作为社会不满情绪的必然溢出口而继续存在。特定的组织会解体，特定的人物会声名狼藉，但那个“位置”将始终存在，既承载着最初的普世理想，也持续映射着权力、金钱与人性纠葛的无奈现实。</w:t>
      </w:r>
    </w:p>
    <w:p w:rsidR="00000000" w:rsidDel="00000000" w:rsidP="00000000" w:rsidRDefault="00000000" w:rsidRPr="00000000" w14:paraId="0000002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