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160" w:before="0" w:line="324" w:lineRule="auto"/>
        <w:jc w:val="center"/>
      </w:pPr>
      <w:r>
        <w:rPr>
          <w:rFonts w:ascii="Arial" w:hAnsi="Arial" w:eastAsia="Microsoft YaHei"/>
        </w:rPr>
        <w:t>航空发动机与英国产业发展完整逻辑总结</w:t>
      </w:r>
    </w:p>
    <w:p>
      <w:pPr>
        <w:spacing w:after="240" w:before="0" w:line="324" w:lineRule="auto"/>
        <w:jc w:val="center"/>
      </w:pPr>
      <w:r>
        <w:rPr>
          <w:rFonts w:ascii="Arial" w:hAnsi="Arial" w:eastAsia="Microsoft YaHei"/>
          <w:i/>
          <w:color w:val="5A5A5A"/>
          <w:sz w:val="20"/>
        </w:rPr>
        <w:t>围绕民航发动机全球垄断、英国高端企业布局、ARM 架构与平替趋势、以及英国产业战略与社会矛盾的系统梳理</w:t>
      </w:r>
    </w:p>
    <w:tbl>
      <w:tblPr>
        <w:tblW w:type="auto" w:w="0"/>
        <w:jc w:val="center"/>
        <w:tblLook w:firstColumn="1" w:firstRow="1" w:lastColumn="0" w:lastRow="0" w:noHBand="0" w:noVBand="1" w:val="04A0"/>
      </w:tblPr>
      <w:tblGrid>
        <w:gridCol w:w="9632"/>
      </w:tblGrid>
      <w:tr>
        <w:tc>
          <w:tcPr>
            <w:tcW w:type="dxa" w:w="9632"/>
            <w:shd w:fill="EEF3F8"/>
            <w:tcMar>
              <w:top w:w="140" w:type="dxa"/>
              <w:start w:w="160" w:type="dxa"/>
              <w:bottom w:w="140" w:type="dxa"/>
              <w:end w:w="160" w:type="dxa"/>
            </w:tcMar>
            <w:vAlign w:val="center"/>
          </w:tcPr>
          <w:p>
            <w:pPr>
              <w:spacing w:after="0" w:before="0" w:line="312" w:lineRule="auto"/>
            </w:pPr>
            <w:r>
              <w:rPr>
                <w:rFonts w:ascii="Arial" w:hAnsi="Arial" w:eastAsia="Microsoft YaHei"/>
                <w:b/>
              </w:rPr>
              <w:t>摘要：</w:t>
            </w:r>
            <w:r>
              <w:rPr>
                <w:rFonts w:ascii="Arial" w:hAnsi="Arial" w:eastAsia="Microsoft YaHei"/>
              </w:rPr>
              <w:t>本文指出，民航航空发动机是全球工业体系最难攻克的制高点之一，当前只有美英少数企业具备完整的独立研发、认证与商业化能力。英国在放弃整机竞争后，转而聚焦发动机、军工、医药、ARM 架构与金融等高附加值命门环节，形成“不一定造整机，但一定卡住全球关键节点”的产业结构；与此同时，这一路径也加剧了高端垄断能力与大众就业、社会福利之间的张力。</w:t>
            </w:r>
          </w:p>
        </w:tc>
      </w:tr>
    </w:tbl>
    <w:p/>
    <w:p>
      <w:pPr>
        <w:pStyle w:val="Heading1"/>
        <w:spacing w:after="120" w:before="40" w:line="324" w:lineRule="auto"/>
      </w:pPr>
      <w:r>
        <w:rPr>
          <w:rFonts w:ascii="Arial" w:hAnsi="Arial" w:eastAsia="Microsoft YaHei"/>
        </w:rPr>
        <w:t>一、内容结构总览</w:t>
      </w:r>
    </w:p>
    <w:tbl>
      <w:tblPr>
        <w:tblStyle w:val="TableGrid"/>
        <w:tblW w:type="auto" w:w="0"/>
        <w:jc w:val="center"/>
        <w:tblLook w:firstColumn="1" w:firstRow="1" w:lastColumn="0" w:lastRow="0" w:noHBand="0" w:noVBand="1" w:val="04A0"/>
      </w:tblPr>
      <w:tblGrid>
        <w:gridCol w:w="3211"/>
        <w:gridCol w:w="3211"/>
        <w:gridCol w:w="3211"/>
      </w:tblGrid>
      <w:tr>
        <w:tc>
          <w:tcPr>
            <w:tcW w:type="dxa" w:w="3211"/>
            <w:shd w:fill="D9E7F5"/>
            <w:tcMar>
              <w:top w:w="100" w:type="dxa"/>
              <w:start w:w="120" w:type="dxa"/>
              <w:bottom w:w="100" w:type="dxa"/>
              <w:end w:w="120" w:type="dxa"/>
            </w:tcMar>
            <w:vAlign w:val="center"/>
          </w:tcPr>
          <w:p>
            <w:pPr>
              <w:jc w:val="center"/>
            </w:pPr>
            <w:r>
              <w:rPr>
                <w:rFonts w:ascii="Arial" w:hAnsi="Arial" w:eastAsia="Microsoft YaHei"/>
                <w:b/>
              </w:rPr>
              <w:t>模块</w:t>
            </w:r>
          </w:p>
        </w:tc>
        <w:tc>
          <w:tcPr>
            <w:tcW w:type="dxa" w:w="3211"/>
            <w:shd w:fill="D9E7F5"/>
            <w:tcMar>
              <w:top w:w="100" w:type="dxa"/>
              <w:start w:w="120" w:type="dxa"/>
              <w:bottom w:w="100" w:type="dxa"/>
              <w:end w:w="120" w:type="dxa"/>
            </w:tcMar>
            <w:vAlign w:val="center"/>
          </w:tcPr>
          <w:p>
            <w:pPr>
              <w:jc w:val="center"/>
            </w:pPr>
            <w:r>
              <w:rPr>
                <w:rFonts w:ascii="Arial" w:hAnsi="Arial" w:eastAsia="Microsoft YaHei"/>
                <w:b/>
              </w:rPr>
              <w:t>主题</w:t>
            </w:r>
          </w:p>
        </w:tc>
        <w:tc>
          <w:tcPr>
            <w:tcW w:type="dxa" w:w="3211"/>
            <w:shd w:fill="D9E7F5"/>
            <w:tcMar>
              <w:top w:w="100" w:type="dxa"/>
              <w:start w:w="120" w:type="dxa"/>
              <w:bottom w:w="100" w:type="dxa"/>
              <w:end w:w="120" w:type="dxa"/>
            </w:tcMar>
            <w:vAlign w:val="center"/>
          </w:tcPr>
          <w:p>
            <w:pPr>
              <w:jc w:val="center"/>
            </w:pPr>
            <w:r>
              <w:rPr>
                <w:rFonts w:ascii="Arial" w:hAnsi="Arial" w:eastAsia="Microsoft YaHei"/>
                <w:b/>
              </w:rPr>
              <w:t>核心结论</w:t>
            </w:r>
          </w:p>
        </w:tc>
      </w:tr>
      <w:tr>
        <w:tc>
          <w:tcPr>
            <w:tcW w:type="dxa" w:w="3211"/>
            <w:vAlign w:val="center"/>
            <w:tcMar>
              <w:top w:w="100" w:type="dxa"/>
              <w:start w:w="120" w:type="dxa"/>
              <w:bottom w:w="100" w:type="dxa"/>
              <w:end w:w="120" w:type="dxa"/>
            </w:tcMar>
          </w:tcPr>
          <w:p>
            <w:pPr>
              <w:jc w:val="center"/>
            </w:pPr>
            <w:r>
              <w:rPr>
                <w:rFonts w:ascii="Arial" w:hAnsi="Arial" w:eastAsia="Microsoft YaHei"/>
                <w:sz w:val="20"/>
              </w:rPr>
              <w:t>01</w:t>
            </w:r>
          </w:p>
        </w:tc>
        <w:tc>
          <w:tcPr>
            <w:tcW w:type="dxa" w:w="3211"/>
            <w:vAlign w:val="center"/>
            <w:tcMar>
              <w:top w:w="100" w:type="dxa"/>
              <w:start w:w="120" w:type="dxa"/>
              <w:bottom w:w="100" w:type="dxa"/>
              <w:end w:w="120" w:type="dxa"/>
            </w:tcMar>
          </w:tcPr>
          <w:p>
            <w:pPr>
              <w:jc w:val="left"/>
            </w:pPr>
            <w:r>
              <w:rPr>
                <w:rFonts w:ascii="Arial" w:hAnsi="Arial" w:eastAsia="Microsoft YaHei"/>
                <w:sz w:val="20"/>
              </w:rPr>
              <w:t>民航发动机垄断</w:t>
            </w:r>
          </w:p>
        </w:tc>
        <w:tc>
          <w:tcPr>
            <w:tcW w:type="dxa" w:w="3211"/>
            <w:vAlign w:val="center"/>
            <w:tcMar>
              <w:top w:w="100" w:type="dxa"/>
              <w:start w:w="120" w:type="dxa"/>
              <w:bottom w:w="100" w:type="dxa"/>
              <w:end w:w="120" w:type="dxa"/>
            </w:tcMar>
          </w:tcPr>
          <w:p>
            <w:pPr>
              <w:jc w:val="left"/>
            </w:pPr>
            <w:r>
              <w:rPr>
                <w:rFonts w:ascii="Arial" w:hAnsi="Arial" w:eastAsia="Microsoft YaHei"/>
                <w:sz w:val="20"/>
              </w:rPr>
              <w:t>GE、普惠、罗罗构成干线民航发动机的核心垄断格局。</w:t>
            </w:r>
          </w:p>
        </w:tc>
      </w:tr>
      <w:tr>
        <w:tc>
          <w:tcPr>
            <w:tcW w:type="dxa" w:w="3211"/>
            <w:vAlign w:val="center"/>
            <w:tcMar>
              <w:top w:w="100" w:type="dxa"/>
              <w:start w:w="120" w:type="dxa"/>
              <w:bottom w:w="100" w:type="dxa"/>
              <w:end w:w="120" w:type="dxa"/>
            </w:tcMar>
          </w:tcPr>
          <w:p>
            <w:pPr>
              <w:jc w:val="center"/>
            </w:pPr>
            <w:r>
              <w:rPr>
                <w:rFonts w:ascii="Arial" w:hAnsi="Arial" w:eastAsia="Microsoft YaHei"/>
                <w:sz w:val="20"/>
              </w:rPr>
              <w:t>02</w:t>
            </w:r>
          </w:p>
        </w:tc>
        <w:tc>
          <w:tcPr>
            <w:tcW w:type="dxa" w:w="3211"/>
            <w:vAlign w:val="center"/>
            <w:tcMar>
              <w:top w:w="100" w:type="dxa"/>
              <w:start w:w="120" w:type="dxa"/>
              <w:bottom w:w="100" w:type="dxa"/>
              <w:end w:w="120" w:type="dxa"/>
            </w:tcMar>
          </w:tcPr>
          <w:p>
            <w:pPr>
              <w:jc w:val="left"/>
            </w:pPr>
            <w:r>
              <w:rPr>
                <w:rFonts w:ascii="Arial" w:hAnsi="Arial" w:eastAsia="Microsoft YaHei"/>
                <w:sz w:val="20"/>
              </w:rPr>
              <w:t>英国顶级企业布局</w:t>
            </w:r>
          </w:p>
        </w:tc>
        <w:tc>
          <w:tcPr>
            <w:tcW w:type="dxa" w:w="3211"/>
            <w:vAlign w:val="center"/>
            <w:tcMar>
              <w:top w:w="100" w:type="dxa"/>
              <w:start w:w="120" w:type="dxa"/>
              <w:bottom w:w="100" w:type="dxa"/>
              <w:end w:w="120" w:type="dxa"/>
            </w:tcMar>
          </w:tcPr>
          <w:p>
            <w:pPr>
              <w:jc w:val="left"/>
            </w:pPr>
            <w:r>
              <w:rPr>
                <w:rFonts w:ascii="Arial" w:hAnsi="Arial" w:eastAsia="Microsoft YaHei"/>
                <w:sz w:val="20"/>
              </w:rPr>
              <w:t>英国放弃大而全，转向在航空发动机、军工、医药、ARM 与金融等命门环节建立优势。</w:t>
            </w:r>
          </w:p>
        </w:tc>
      </w:tr>
      <w:tr>
        <w:tc>
          <w:tcPr>
            <w:tcW w:type="dxa" w:w="3211"/>
            <w:vAlign w:val="center"/>
            <w:tcMar>
              <w:top w:w="100" w:type="dxa"/>
              <w:start w:w="120" w:type="dxa"/>
              <w:bottom w:w="100" w:type="dxa"/>
              <w:end w:w="120" w:type="dxa"/>
            </w:tcMar>
          </w:tcPr>
          <w:p>
            <w:pPr>
              <w:jc w:val="center"/>
            </w:pPr>
            <w:r>
              <w:rPr>
                <w:rFonts w:ascii="Arial" w:hAnsi="Arial" w:eastAsia="Microsoft YaHei"/>
                <w:sz w:val="20"/>
              </w:rPr>
              <w:t>03</w:t>
            </w:r>
          </w:p>
        </w:tc>
        <w:tc>
          <w:tcPr>
            <w:tcW w:type="dxa" w:w="3211"/>
            <w:vAlign w:val="center"/>
            <w:tcMar>
              <w:top w:w="100" w:type="dxa"/>
              <w:start w:w="120" w:type="dxa"/>
              <w:bottom w:w="100" w:type="dxa"/>
              <w:end w:w="120" w:type="dxa"/>
            </w:tcMar>
          </w:tcPr>
          <w:p>
            <w:pPr>
              <w:jc w:val="left"/>
            </w:pPr>
            <w:r>
              <w:rPr>
                <w:rFonts w:ascii="Arial" w:hAnsi="Arial" w:eastAsia="Microsoft YaHei"/>
                <w:sz w:val="20"/>
              </w:rPr>
              <w:t>ARM 与平替趋势</w:t>
            </w:r>
          </w:p>
        </w:tc>
        <w:tc>
          <w:tcPr>
            <w:tcW w:type="dxa" w:w="3211"/>
            <w:vAlign w:val="center"/>
            <w:tcMar>
              <w:top w:w="100" w:type="dxa"/>
              <w:start w:w="120" w:type="dxa"/>
              <w:bottom w:w="100" w:type="dxa"/>
              <w:end w:w="120" w:type="dxa"/>
            </w:tcMar>
          </w:tcPr>
          <w:p>
            <w:pPr>
              <w:jc w:val="left"/>
            </w:pPr>
            <w:r>
              <w:rPr>
                <w:rFonts w:ascii="Arial" w:hAnsi="Arial" w:eastAsia="Microsoft YaHei"/>
                <w:sz w:val="20"/>
              </w:rPr>
              <w:t>RISC-V 正在物联网与汽车电子扩张，但短期无法在移动和高端服务器替代 ARM。</w:t>
            </w:r>
          </w:p>
        </w:tc>
      </w:tr>
      <w:tr>
        <w:tc>
          <w:tcPr>
            <w:tcW w:type="dxa" w:w="3211"/>
            <w:vAlign w:val="center"/>
            <w:tcMar>
              <w:top w:w="100" w:type="dxa"/>
              <w:start w:w="120" w:type="dxa"/>
              <w:bottom w:w="100" w:type="dxa"/>
              <w:end w:w="120" w:type="dxa"/>
            </w:tcMar>
          </w:tcPr>
          <w:p>
            <w:pPr>
              <w:jc w:val="center"/>
            </w:pPr>
            <w:r>
              <w:rPr>
                <w:rFonts w:ascii="Arial" w:hAnsi="Arial" w:eastAsia="Microsoft YaHei"/>
                <w:sz w:val="20"/>
              </w:rPr>
              <w:t>04</w:t>
            </w:r>
          </w:p>
        </w:tc>
        <w:tc>
          <w:tcPr>
            <w:tcW w:type="dxa" w:w="3211"/>
            <w:vAlign w:val="center"/>
            <w:tcMar>
              <w:top w:w="100" w:type="dxa"/>
              <w:start w:w="120" w:type="dxa"/>
              <w:bottom w:w="100" w:type="dxa"/>
              <w:end w:w="120" w:type="dxa"/>
            </w:tcMar>
          </w:tcPr>
          <w:p>
            <w:pPr>
              <w:jc w:val="left"/>
            </w:pPr>
            <w:r>
              <w:rPr>
                <w:rFonts w:ascii="Arial" w:hAnsi="Arial" w:eastAsia="Microsoft YaHei"/>
                <w:sz w:val="20"/>
              </w:rPr>
              <w:t>英国产业战略</w:t>
            </w:r>
          </w:p>
        </w:tc>
        <w:tc>
          <w:tcPr>
            <w:tcW w:type="dxa" w:w="3211"/>
            <w:vAlign w:val="center"/>
            <w:tcMar>
              <w:top w:w="100" w:type="dxa"/>
              <w:start w:w="120" w:type="dxa"/>
              <w:bottom w:w="100" w:type="dxa"/>
              <w:end w:w="120" w:type="dxa"/>
            </w:tcMar>
          </w:tcPr>
          <w:p>
            <w:pPr>
              <w:jc w:val="left"/>
            </w:pPr>
            <w:r>
              <w:rPr>
                <w:rFonts w:ascii="Arial" w:hAnsi="Arial" w:eastAsia="Microsoft YaHei"/>
                <w:sz w:val="20"/>
              </w:rPr>
              <w:t>英国主动放弃整机，转向死守高利润、低风险、可全球收费的核心环节。</w:t>
            </w:r>
          </w:p>
        </w:tc>
      </w:tr>
      <w:tr>
        <w:tc>
          <w:tcPr>
            <w:tcW w:type="dxa" w:w="3211"/>
            <w:vAlign w:val="center"/>
            <w:tcMar>
              <w:top w:w="100" w:type="dxa"/>
              <w:start w:w="120" w:type="dxa"/>
              <w:bottom w:w="100" w:type="dxa"/>
              <w:end w:w="120" w:type="dxa"/>
            </w:tcMar>
          </w:tcPr>
          <w:p>
            <w:pPr>
              <w:jc w:val="center"/>
            </w:pPr>
            <w:r>
              <w:rPr>
                <w:rFonts w:ascii="Arial" w:hAnsi="Arial" w:eastAsia="Microsoft YaHei"/>
                <w:sz w:val="20"/>
              </w:rPr>
              <w:t>05</w:t>
            </w:r>
          </w:p>
        </w:tc>
        <w:tc>
          <w:tcPr>
            <w:tcW w:type="dxa" w:w="3211"/>
            <w:vAlign w:val="center"/>
            <w:tcMar>
              <w:top w:w="100" w:type="dxa"/>
              <w:start w:w="120" w:type="dxa"/>
              <w:bottom w:w="100" w:type="dxa"/>
              <w:end w:w="120" w:type="dxa"/>
            </w:tcMar>
          </w:tcPr>
          <w:p>
            <w:pPr>
              <w:jc w:val="left"/>
            </w:pPr>
            <w:r>
              <w:rPr>
                <w:rFonts w:ascii="Arial" w:hAnsi="Arial" w:eastAsia="Microsoft YaHei"/>
                <w:sz w:val="20"/>
              </w:rPr>
              <w:t>社会矛盾与反思</w:t>
            </w:r>
          </w:p>
        </w:tc>
        <w:tc>
          <w:tcPr>
            <w:tcW w:type="dxa" w:w="3211"/>
            <w:vAlign w:val="center"/>
            <w:tcMar>
              <w:top w:w="100" w:type="dxa"/>
              <w:start w:w="120" w:type="dxa"/>
              <w:bottom w:w="100" w:type="dxa"/>
              <w:end w:w="120" w:type="dxa"/>
            </w:tcMar>
          </w:tcPr>
          <w:p>
            <w:pPr>
              <w:jc w:val="left"/>
            </w:pPr>
            <w:r>
              <w:rPr>
                <w:rFonts w:ascii="Arial" w:hAnsi="Arial" w:eastAsia="Microsoft YaHei"/>
                <w:sz w:val="20"/>
              </w:rPr>
              <w:t>高端企业能赚钱却难以大规模吸纳就业，产业空心化造成国家强与民生弱并存。</w:t>
            </w:r>
          </w:p>
        </w:tc>
      </w:tr>
    </w:tbl>
    <w:p/>
    <w:p>
      <w:pPr>
        <w:pStyle w:val="Heading1"/>
        <w:spacing w:after="120" w:before="120" w:line="324" w:lineRule="auto"/>
      </w:pPr>
      <w:r>
        <w:rPr>
          <w:rFonts w:ascii="Arial" w:hAnsi="Arial" w:eastAsia="Microsoft YaHei"/>
        </w:rPr>
        <w:t>二、民航航空发动机：美英双雄垄断的工业天花板</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全球干线大涵道民航发动机领域，真正具备独立研发、制造、认证和商业化能力的核心玩家，长期只有美国通用电气（GE）、普惠（Pratt &amp; Whitney），以及英国罗尔斯·罗伊斯（Rolls-Royce）三家。法国更多通过与 GE 合资的 CFM 参与市场分配，中国、俄罗斯、日本等国则仍在关键材料、设计和验证能力上受制于人。</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发动机之所以比航电系统更难，是因为它几乎把材料科学、热力学、流体力学、机械设计、制造工艺与长期可靠性验证推到人类工业极限：燃烧室工作温度超过部分金属熔点，叶片在高温高压和超高转速下长期承受巨大应力，还必须连续工作数万小时而不失效。</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真正的壁垒不只是“造出来”，而是“稳定地量产并让全球航司愿意长期买单”。因此，哪怕是波音、空客这样的整机巨头，也必须高度依赖发动机企业供货；对后来者而言，发动机往往是整条大飞机产业链中最难被攻克的那一层。</w:t>
      </w:r>
    </w:p>
    <w:p>
      <w:pPr>
        <w:pStyle w:val="Heading1"/>
        <w:spacing w:after="120" w:before="120" w:line="324" w:lineRule="auto"/>
      </w:pPr>
      <w:r>
        <w:rPr>
          <w:rFonts w:ascii="Arial" w:hAnsi="Arial" w:eastAsia="Microsoft YaHei"/>
        </w:rPr>
        <w:t>三、英国顶级高端企业：全领域卡脖子的命门布局</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英国在失去整机竞争优势后，并没有退出高端工业体系，而是将资源集中在更高附加值、技术门槛更深、议价权更强的关键环节，典型代表就是航空航天与军工、医药、芯片架构设计及全球金融服务。</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在航空航天与军工方面，罗尔斯·罗伊斯是全球三大发动机巨头之一，BAE Systems 是欧洲顶级防务企业；在生物医药方面，阿斯利康与葛兰素史克长期处于全球研发第一梯队；在半导体领域，ARM 通过“只做架构、不做芯片”的轻资产模式统治全球移动芯片底层生态；在金融方面，伦敦凭借银行、保险、再保险和资产管理体系维持全球金融中心地位。</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这一布局的共同特征是：不一定面向大众消费市场，不一定大量雇佣普通劳动力，但都牢牢占据行业标准、知识产权、供应链命门或资本枢纽位置，从而具备“规模不一定最大，但利润和控制力极强”的产业特征。</w:t>
      </w:r>
    </w:p>
    <w:p>
      <w:pPr>
        <w:pStyle w:val="Heading1"/>
        <w:spacing w:after="120" w:before="120" w:line="324" w:lineRule="auto"/>
      </w:pPr>
      <w:r>
        <w:rPr>
          <w:rFonts w:ascii="Arial" w:hAnsi="Arial" w:eastAsia="Microsoft YaHei"/>
        </w:rPr>
        <w:t>四、ARM 架构：英国轻资产霸权的经典样本</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ARM 的本质不是芯片制造商，而是 CPU 指令集与内核 IP 设计商。它以低功耗、高效率、模块化扩展为核心优势，成为智能手机、平板、IoT、车载芯片乃至部分服务器芯片的默认底层标准。</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ARM 的商业模式极具英国式“轻资产高利润”特征：一方面向芯片公司收取架构授权费与内核授权费，另一方面按最终芯片售价持续抽取版税。由于自己不承担晶圆制造、封装测试和大规模库存风险，ARM 可以用极少的员工维持极高的毛利率。</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其真正壁垒并不仅仅是专利文本，而是法律权利、长期微架构优化经验，以及围绕安卓、iOS、编译器、开发工具、应用软件形成的庞大生态锁定。后来者即使做出近似架构，也很难在全球市场获得合法销售能力和软件生态支持。</w:t>
      </w:r>
    </w:p>
    <w:p>
      <w:pPr>
        <w:pStyle w:val="Heading1"/>
        <w:spacing w:after="120" w:before="120" w:line="324" w:lineRule="auto"/>
      </w:pPr>
      <w:r>
        <w:rPr>
          <w:rFonts w:ascii="Arial" w:hAnsi="Arial" w:eastAsia="Microsoft YaHei"/>
        </w:rPr>
        <w:t>五、ARM 平替趋势：RISC-V 的崛起与边界</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目前 ARM 最具代表性的平替方向是 RISC-V。它最大的吸引力在于开源、免费、可定制，这使得各国在物联网、嵌入式控制器、汽车电子等场景中更愿意基于 RISC-V 构建自主体系，以减少对 ARM 授权模式的依赖。</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在现实进展上，RISC-V 已经在智能穿戴、传感器、车规 MCU、座舱控制等中低功耗场景获得快速增长，不少中国企业和国际汽车产业链企业都在推动相关落地。</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但在高端手机 SoC、主流移动操作系统、高性能服务器和成熟消费级软件生态层面，ARM 仍然拥有巨大优势。RISC-V 的短板不只在性能，还在工具链、系统兼容性、长期可靠性验证和头部芯片厂商的生态绑定，因此其短期更像“分食边缘市场”，而不是“全面替代 ARM”。</w:t>
      </w:r>
    </w:p>
    <w:p>
      <w:pPr>
        <w:pStyle w:val="Heading1"/>
        <w:spacing w:after="120" w:before="120" w:line="324" w:lineRule="auto"/>
      </w:pPr>
      <w:r>
        <w:rPr>
          <w:rFonts w:ascii="Arial" w:hAnsi="Arial" w:eastAsia="Microsoft YaHei"/>
        </w:rPr>
        <w:t>六、英国为什么主动放弃整机：战略算账而非单纯衰落</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英国并非完全没有整机能力，而是在权衡市场、资本、认证体系与国际竞争后，逐渐选择退出高风险整机赛道。大飞机研发需要持续数十年、动辄数千亿的资本投入，还要求拥有足够大的本土和全球订单池来摊薄成本。</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殖民体系解体后，英国失去了天然的全球订单网络；与此同时，美国依托美元、FAA 适航体系、金融租赁与波音工业体系，牢牢控制了全球民航整机的主导权。英国若继续单打独斗，既打不过美国，也没有欧洲联合体那样的规模优势。</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相比之下，死守发动机、军工子系统、架构 IP、金融服务等核心环节，反而更符合英国的现实利益：不用承担整机成败的巨大市场风险，却可以向所有整机厂商和全球客户长期收取高额技术溢价与服务收入。</w:t>
      </w:r>
    </w:p>
    <w:p>
      <w:pPr>
        <w:pStyle w:val="Heading1"/>
        <w:spacing w:after="120" w:before="120" w:line="324" w:lineRule="auto"/>
      </w:pPr>
      <w:r>
        <w:rPr>
          <w:rFonts w:ascii="Arial" w:hAnsi="Arial" w:eastAsia="Microsoft YaHei"/>
        </w:rPr>
        <w:t>七、英国产业的深层矛盾：高端垄断与大众民生割裂</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英国最成功的企业往往是“精英工业”或“精英服务业”企业：技术门槛极高、员工数量有限、利润率很强，但对普通民众的吸纳能力并不高。罗罗、ARM、阿斯利康、金融机构都能创造高附加值，却无法像传统制造业那样提供大规模中等技能岗位。</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撒切尔时代之后，英国持续推进去工业化，大量汽车、电子、造船等中低端制造外迁，国内就业结构越来越依赖金融、教育、医疗与服务业。这一模式能维持国家账面财富，却容易造成普通人只能流向低薪服务岗位，社会获得感下降。</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因此，英国的问题不是“没有顶级企业”，而是“顶级企业的繁荣无法自然转化为广泛就业与民生改善”。国家在全球产业链上仍有极强控制力，但社会内部却出现了精英繁荣与大众焦虑并存的长期张力。</w:t>
      </w:r>
    </w:p>
    <w:p>
      <w:pPr>
        <w:pStyle w:val="Heading1"/>
        <w:spacing w:after="120" w:before="120" w:line="324" w:lineRule="auto"/>
      </w:pPr>
      <w:r>
        <w:rPr>
          <w:rFonts w:ascii="Arial" w:hAnsi="Arial" w:eastAsia="Microsoft YaHei"/>
        </w:rPr>
        <w:t>八、英国为何错失更多头部赛道</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英国原本在现代工业革命、喷气航空与早期计算技术上都拥有极深基础，但后续没有孕育出更多类似 ASML、台积电那样的新型重资产全球龙头，根本原因在于其发展路径更偏向“吃现有高端老本”，而非重新构建完整产业链。</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具体来看，第一是主动放弃重制造与设备、材料环节，只保留设计、IP、金融等轻资产部分；第二是资本更偏好短期财务回报，不愿意为高风险、长周期、前期长期亏损的产业投入足够耐心资本；第三是社会整体缺乏东亚式“先苦后甜”的长期工业主义动员能力。</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结果就是，英国守住了罗罗、ARM、金融等命门资产，却难以再批量诞生需要全产业链协同、长期亏损投入和国家级组织能力的新头部企业。</w:t>
      </w:r>
    </w:p>
    <w:p>
      <w:pPr>
        <w:pStyle w:val="Heading1"/>
        <w:spacing w:after="120" w:before="120" w:line="324" w:lineRule="auto"/>
      </w:pPr>
      <w:r>
        <w:rPr>
          <w:rFonts w:ascii="Arial" w:hAnsi="Arial" w:eastAsia="Microsoft YaHei"/>
        </w:rPr>
        <w:t>九、全球高端制造的国家分工与路径差异</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从全球视角看，不同体量国家在高端制造中的最优路径并不相同。中美这类顶级大国，更有条件做整机、做系统、做规则制定，因为它们具备超大市场、财政能力、资本深度与完整产业链。</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英国、荷兰、日本、德国等中等强国，则更适合在特定命门环节做到全球最强：英国做航发与 ARM，荷兰做光刻机，日本做高端材料，德国做高端机床。它们不一定拥有整机统治力，但通过单点极致实现“全球过路费”模式。</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而东亚国家的典型路径，则往往是政府主导、资本配合、社会愿意忍受长期投入和阶段性低回报，通过代工、学习、迭代逐步爬升到自主研发。这与英国等老牌发达国家更偏好轻资产、高利润、低风险赛道形成鲜明对照。</w:t>
      </w:r>
    </w:p>
    <w:p>
      <w:pPr>
        <w:pStyle w:val="Heading1"/>
        <w:spacing w:after="120" w:before="120" w:line="324" w:lineRule="auto"/>
      </w:pPr>
      <w:r>
        <w:rPr>
          <w:rFonts w:ascii="Arial" w:hAnsi="Arial" w:eastAsia="Microsoft YaHei"/>
        </w:rPr>
        <w:t>十、结论：英国模式的启示</w:t>
      </w:r>
    </w:p>
    <w:p>
      <w:pPr>
        <w:pStyle w:val="Heading2"/>
        <w:spacing w:after="40" w:before="40" w:line="324" w:lineRule="auto"/>
      </w:pPr>
      <w:r>
        <w:rPr>
          <w:rFonts w:ascii="Arial" w:hAnsi="Arial" w:eastAsia="Microsoft YaHei"/>
        </w:rPr>
        <w:t>1. 核心判断</w:t>
      </w:r>
    </w:p>
    <w:p>
      <w:pPr>
        <w:spacing w:after="120" w:before="0" w:line="324" w:lineRule="auto"/>
        <w:ind w:firstLine="420"/>
      </w:pPr>
      <w:r>
        <w:rPr>
          <w:rFonts w:ascii="Arial" w:hAnsi="Arial" w:eastAsia="Microsoft YaHei"/>
        </w:rPr>
        <w:t>英国案例说明，一个国家即便失去完整工业门类，仍可通过占据核心技术、知识产权与金融枢纽位置，维持极强的全球影响力；但这种模式更适合“国家层面的体面”和“资本层面的高利润”，未必能自动带来社会层面的均衡繁荣。</w:t>
      </w:r>
    </w:p>
    <w:p>
      <w:pPr>
        <w:pStyle w:val="Heading2"/>
        <w:spacing w:after="40" w:before="40" w:line="324" w:lineRule="auto"/>
      </w:pPr>
      <w:r>
        <w:rPr>
          <w:rFonts w:ascii="Arial" w:hAnsi="Arial" w:eastAsia="Microsoft YaHei"/>
        </w:rPr>
        <w:t>2. 关键逻辑</w:t>
      </w:r>
    </w:p>
    <w:p>
      <w:pPr>
        <w:spacing w:after="120" w:before="0" w:line="324" w:lineRule="auto"/>
        <w:ind w:firstLine="420"/>
      </w:pPr>
      <w:r>
        <w:rPr>
          <w:rFonts w:ascii="Arial" w:hAnsi="Arial" w:eastAsia="Microsoft YaHei"/>
        </w:rPr>
        <w:t>对后来者而言，真正值得警惕的不是英国有没有顶级企业，而是其模式背后那种“高端垄断能力很强、产业厚度却逐渐变薄”的结构性风险。</w:t>
      </w:r>
    </w:p>
    <w:p>
      <w:pPr>
        <w:pStyle w:val="Heading2"/>
        <w:spacing w:after="40" w:before="40" w:line="324" w:lineRule="auto"/>
      </w:pPr>
      <w:r>
        <w:rPr>
          <w:rFonts w:ascii="Arial" w:hAnsi="Arial" w:eastAsia="Microsoft YaHei"/>
        </w:rPr>
        <w:t>3. 现实含义</w:t>
      </w:r>
    </w:p>
    <w:p>
      <w:pPr>
        <w:spacing w:after="120" w:before="0" w:line="324" w:lineRule="auto"/>
        <w:ind w:firstLine="420"/>
      </w:pPr>
      <w:r>
        <w:rPr>
          <w:rFonts w:ascii="Arial" w:hAnsi="Arial" w:eastAsia="Microsoft YaHei"/>
        </w:rPr>
        <w:t>若一个国家希望兼顾技术主权、产业安全、就业吸纳和社会稳定，仅靠少数命门企业远远不够，仍需在制造、材料、设备、工程教育与本土市场之间建立更厚、更完整的工业生态。</w:t>
      </w:r>
    </w:p>
    <w:p>
      <w:pPr>
        <w:pStyle w:val="Heading1"/>
        <w:spacing w:after="120" w:before="120" w:line="324" w:lineRule="auto"/>
      </w:pPr>
      <w:r>
        <w:rPr>
          <w:rFonts w:ascii="Arial" w:hAnsi="Arial" w:eastAsia="Microsoft YaHei"/>
        </w:rPr>
        <w:t>十一、最终提炼：英国高端产业模式的四句话概括</w:t>
      </w:r>
    </w:p>
    <w:tbl>
      <w:tblPr>
        <w:tblStyle w:val="TableGrid"/>
        <w:tblW w:type="auto" w:w="0"/>
        <w:jc w:val="center"/>
        <w:tblLook w:firstColumn="1" w:firstRow="1" w:lastColumn="0" w:lastRow="0" w:noHBand="0" w:noVBand="1" w:val="04A0"/>
      </w:tblPr>
      <w:tblGrid>
        <w:gridCol w:w="4816"/>
        <w:gridCol w:w="4816"/>
      </w:tblGrid>
      <w:tr>
        <w:tc>
          <w:tcPr>
            <w:tcW w:type="dxa" w:w="4816"/>
            <w:shd w:fill="EAF0F7"/>
            <w:vAlign w:val="center"/>
            <w:tcMar>
              <w:top w:w="130" w:type="dxa"/>
              <w:start w:w="140" w:type="dxa"/>
              <w:bottom w:w="130" w:type="dxa"/>
              <w:end w:w="140" w:type="dxa"/>
            </w:tcMar>
          </w:tcPr>
          <w:p>
            <w:pPr>
              <w:jc w:val="center"/>
            </w:pPr>
            <w:r>
              <w:rPr>
                <w:rFonts w:ascii="Arial" w:hAnsi="Arial" w:eastAsia="Microsoft YaHei"/>
              </w:rPr>
              <w:t>第一句</w:t>
            </w:r>
          </w:p>
        </w:tc>
        <w:tc>
          <w:tcPr>
            <w:tcW w:type="dxa" w:w="4816"/>
            <w:vAlign w:val="center"/>
            <w:tcMar>
              <w:top w:w="130" w:type="dxa"/>
              <w:start w:w="140" w:type="dxa"/>
              <w:bottom w:w="130" w:type="dxa"/>
              <w:end w:w="140" w:type="dxa"/>
            </w:tcMar>
          </w:tcPr>
          <w:p>
            <w:pPr>
              <w:jc w:val="left"/>
            </w:pPr>
            <w:r>
              <w:rPr>
                <w:rFonts w:ascii="Arial" w:hAnsi="Arial" w:eastAsia="Microsoft YaHei"/>
              </w:rPr>
              <w:t>英国不是不会做工业，而是更倾向于只做工业里最赚钱、最关键、最不脏最不重的那一段。</w:t>
            </w:r>
          </w:p>
        </w:tc>
      </w:tr>
      <w:tr>
        <w:tc>
          <w:tcPr>
            <w:tcW w:type="dxa" w:w="4816"/>
            <w:shd w:fill="EAF0F7"/>
            <w:vAlign w:val="center"/>
            <w:tcMar>
              <w:top w:w="130" w:type="dxa"/>
              <w:start w:w="140" w:type="dxa"/>
              <w:bottom w:w="130" w:type="dxa"/>
              <w:end w:w="140" w:type="dxa"/>
            </w:tcMar>
          </w:tcPr>
          <w:p>
            <w:pPr>
              <w:jc w:val="center"/>
            </w:pPr>
            <w:r>
              <w:rPr>
                <w:rFonts w:ascii="Arial" w:hAnsi="Arial" w:eastAsia="Microsoft YaHei"/>
              </w:rPr>
              <w:t>第二句</w:t>
            </w:r>
          </w:p>
        </w:tc>
        <w:tc>
          <w:tcPr>
            <w:tcW w:type="dxa" w:w="4816"/>
            <w:vAlign w:val="center"/>
            <w:tcMar>
              <w:top w:w="130" w:type="dxa"/>
              <w:start w:w="140" w:type="dxa"/>
              <w:bottom w:w="130" w:type="dxa"/>
              <w:end w:w="140" w:type="dxa"/>
            </w:tcMar>
          </w:tcPr>
          <w:p>
            <w:pPr>
              <w:jc w:val="left"/>
            </w:pPr>
            <w:r>
              <w:rPr>
                <w:rFonts w:ascii="Arial" w:hAnsi="Arial" w:eastAsia="Microsoft YaHei"/>
              </w:rPr>
              <w:t>航空发动机与 ARM 代表的是同一种逻辑：不一定控制整机，但一定控制底层命门。</w:t>
            </w:r>
          </w:p>
        </w:tc>
      </w:tr>
      <w:tr>
        <w:tc>
          <w:tcPr>
            <w:tcW w:type="dxa" w:w="4816"/>
            <w:shd w:fill="EAF0F7"/>
            <w:vAlign w:val="center"/>
            <w:tcMar>
              <w:top w:w="130" w:type="dxa"/>
              <w:start w:w="140" w:type="dxa"/>
              <w:bottom w:w="130" w:type="dxa"/>
              <w:end w:w="140" w:type="dxa"/>
            </w:tcMar>
          </w:tcPr>
          <w:p>
            <w:pPr>
              <w:jc w:val="center"/>
            </w:pPr>
            <w:r>
              <w:rPr>
                <w:rFonts w:ascii="Arial" w:hAnsi="Arial" w:eastAsia="Microsoft YaHei"/>
              </w:rPr>
              <w:t>第三句</w:t>
            </w:r>
          </w:p>
        </w:tc>
        <w:tc>
          <w:tcPr>
            <w:tcW w:type="dxa" w:w="4816"/>
            <w:vAlign w:val="center"/>
            <w:tcMar>
              <w:top w:w="130" w:type="dxa"/>
              <w:start w:w="140" w:type="dxa"/>
              <w:bottom w:w="130" w:type="dxa"/>
              <w:end w:w="140" w:type="dxa"/>
            </w:tcMar>
          </w:tcPr>
          <w:p>
            <w:pPr>
              <w:jc w:val="left"/>
            </w:pPr>
            <w:r>
              <w:rPr>
                <w:rFonts w:ascii="Arial" w:hAnsi="Arial" w:eastAsia="Microsoft YaHei"/>
              </w:rPr>
              <w:t>这种模式可以让国家在全球产业链中很强，却不一定让普通人分享到同等程度的发展红利。</w:t>
            </w:r>
          </w:p>
        </w:tc>
      </w:tr>
      <w:tr>
        <w:tc>
          <w:tcPr>
            <w:tcW w:type="dxa" w:w="4816"/>
            <w:shd w:fill="EAF0F7"/>
            <w:vAlign w:val="center"/>
            <w:tcMar>
              <w:top w:w="130" w:type="dxa"/>
              <w:start w:w="140" w:type="dxa"/>
              <w:bottom w:w="130" w:type="dxa"/>
              <w:end w:w="140" w:type="dxa"/>
            </w:tcMar>
          </w:tcPr>
          <w:p>
            <w:pPr>
              <w:jc w:val="center"/>
            </w:pPr>
            <w:r>
              <w:rPr>
                <w:rFonts w:ascii="Arial" w:hAnsi="Arial" w:eastAsia="Microsoft YaHei"/>
              </w:rPr>
              <w:t>第四句</w:t>
            </w:r>
          </w:p>
        </w:tc>
        <w:tc>
          <w:tcPr>
            <w:tcW w:type="dxa" w:w="4816"/>
            <w:vAlign w:val="center"/>
            <w:tcMar>
              <w:top w:w="130" w:type="dxa"/>
              <w:start w:w="140" w:type="dxa"/>
              <w:bottom w:w="130" w:type="dxa"/>
              <w:end w:w="140" w:type="dxa"/>
            </w:tcMar>
          </w:tcPr>
          <w:p>
            <w:pPr>
              <w:jc w:val="left"/>
            </w:pPr>
            <w:r>
              <w:rPr>
                <w:rFonts w:ascii="Arial" w:hAnsi="Arial" w:eastAsia="Microsoft YaHei"/>
              </w:rPr>
              <w:t>真正全面的产业强国，不仅要有几个“卡脖子企业”，还要有能够托住社会就业与产业厚度的完整工业底盘。</w:t>
            </w:r>
          </w:p>
        </w:tc>
      </w:tr>
    </w:tbl>
    <w:sectPr w:rsidR="00FC693F" w:rsidRPr="0006063C" w:rsidSect="00034616">
      <w:headerReference w:type="default" r:id="rId9"/>
      <w:footerReference w:type="default" r:id="rId10"/>
      <w:pgSz w:w="12240" w:h="15840"/>
      <w:pgMar w:top="1247" w:right="1304" w:bottom="113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Microsoft YaHei"/>
        <w:sz w:val="18"/>
      </w:rPr>
      <w:t xml:space="preserve">第 </w:t>
    </w:r>
    <w:r>
      <w:rPr>
        <w:rFonts w:ascii="Arial" w:hAnsi="Arial" w:eastAsia="Microsoft YaHei"/>
        <w:sz w:val="18"/>
      </w:rPr>
      <w:fldChar w:fldCharType="begin"/>
      <w:instrText xml:space="preserve">PAGE</w:instrText>
      <w:fldChar w:fldCharType="end"/>
    </w:r>
    <w:r>
      <w:rPr>
        <w:rFonts w:ascii="Arial" w:hAnsi="Arial" w:eastAsia="Microsoft YaHei"/>
        <w:sz w:val="18"/>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eastAsia="Microsoft YaHei"/>
        <w:color w:val="666666"/>
        <w:sz w:val="18"/>
      </w:rPr>
      <w:t>航空发动机与英国产业发展完整逻辑总结</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Microsoft YaHei"/>
      <w:b/>
      <w:bCs/>
      <w:color w:val="1F3A5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Microsoft YaHei"/>
      <w:b/>
      <w:bCs/>
      <w:color w:val="274C77"/>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Microsoft YaHei"/>
      <w:b/>
      <w:color w:val="1F3A5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