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color w:val="1F4E79"/>
          <w:sz w:val="36"/>
        </w:rPr>
        <w:t>中国崛起、西方认知与东亚发展逻辑总结</w:t>
      </w:r>
    </w:p>
    <w:p>
      <w:pPr>
        <w:jc w:val="center"/>
      </w:pPr>
      <w:r>
        <w:rPr>
          <w:rFonts w:ascii="Microsoft YaHei" w:hAnsi="Microsoft YaHei" w:eastAsia="Microsoft YaHei"/>
          <w:i/>
          <w:color w:val="666666"/>
          <w:sz w:val="21"/>
        </w:rPr>
        <w:t>整理稿</w:t>
      </w:r>
    </w:p>
    <w:p>
      <w:pPr>
        <w:spacing w:before="160" w:after="240" w:line="360" w:lineRule="auto"/>
        <w:shd w:fill="F3F6FA"/>
        <w:pBdr>
          <w:top w:val="single" w:sz="6" w:space="6" w:color="D9E2F3"/>
          <w:left w:val="single" w:sz="6" w:space="6" w:color="D9E2F3"/>
          <w:bottom w:val="single" w:sz="6" w:space="6" w:color="D9E2F3"/>
          <w:right w:val="single" w:sz="6" w:space="6" w:color="D9E2F3"/>
        </w:pBdr>
      </w:pPr>
      <w:r>
        <w:rPr>
          <w:rFonts w:ascii="SimSun" w:hAnsi="SimSun" w:eastAsia="SimSun"/>
          <w:sz w:val="22"/>
        </w:rPr>
        <w:t>本文围绕中国崛起与西方心态、西方对东亚不同主体的认知差异，以及东亚的发展潜力与现实困境进行重新整理，提炼出以下五个核心要点。</w:t>
      </w:r>
    </w:p>
    <w:p>
      <w:pPr>
        <w:spacing w:before="240" w:after="80"/>
      </w:pPr>
      <w:r>
        <w:rPr>
          <w:rFonts w:ascii="Microsoft YaHei" w:hAnsi="Microsoft YaHei" w:eastAsia="Microsoft YaHei"/>
          <w:b/>
          <w:color w:val="2F5496"/>
          <w:sz w:val="26"/>
        </w:rPr>
        <w:t>1. 中国崛起的核心逻辑</w:t>
      </w:r>
    </w:p>
    <w:p>
      <w:pPr>
        <w:spacing w:line="384" w:lineRule="auto" w:after="80"/>
        <w:ind w:firstLine="420"/>
      </w:pPr>
      <w:r>
        <w:rPr>
          <w:rFonts w:ascii="SimSun" w:hAnsi="SimSun" w:eastAsia="SimSun"/>
          <w:sz w:val="22"/>
        </w:rPr>
        <w:t>中国的快速崛起，是自身大一统、强组织等“内功”，与西方资本逐利、冷战算计、全球化扩张等“外力”叠加的结果。西方当年的投入并非出于善意援助，而是希望在中国市场赚取高额利润，并试图通过接触与嵌入式全球化推动中国发生制度性演变。但最终，中国利用这段历史窗口完成了工业化与现代化的关键跃升。如今，随着中国并未按西方设想“听话转型”，西方又转向脱钩、封锁与压制。</w:t>
      </w:r>
    </w:p>
    <w:p>
      <w:pPr>
        <w:spacing w:before="240" w:after="80"/>
      </w:pPr>
      <w:r>
        <w:rPr>
          <w:rFonts w:ascii="Microsoft YaHei" w:hAnsi="Microsoft YaHei" w:eastAsia="Microsoft YaHei"/>
          <w:b/>
          <w:color w:val="2F5496"/>
          <w:sz w:val="26"/>
        </w:rPr>
        <w:t>2. 中国国力增强但国际尊严未完全对等的原因</w:t>
      </w:r>
    </w:p>
    <w:p>
      <w:pPr>
        <w:spacing w:line="384" w:lineRule="auto" w:after="80"/>
        <w:ind w:firstLine="420"/>
      </w:pPr>
      <w:r>
        <w:rPr>
          <w:rFonts w:ascii="SimSun" w:hAnsi="SimSun" w:eastAsia="SimSun"/>
          <w:sz w:val="22"/>
        </w:rPr>
        <w:t>中国虽然在经济总量和综合国力上已进入世界第一梯队，但国际尊严与叙事地位并未同步提升，原因主要在于：其一，西方对中国仍抱有“悔不当初”和居高临下的心态，倾向将中国的发展归结为“搭了西方全球化的便车”；其二，现有国际话语体系、规则体系和价值评判框架主要由西方建立，中国尚未完全掌握对自身发展路径的解释权。西方由于中国制度不同，往往否认其发展模式的正当性。因此，中国若想获得真正意义上的国际尊严，既需要在高科技等关键领域实现真正自主，也需要形成一个可被外部世界借鉴的发展模式，同时还要等待西方霸权心态逐步消退。</w:t>
      </w:r>
    </w:p>
    <w:p>
      <w:pPr>
        <w:spacing w:before="240" w:after="80"/>
      </w:pPr>
      <w:r>
        <w:rPr>
          <w:rFonts w:ascii="Microsoft YaHei" w:hAnsi="Microsoft YaHei" w:eastAsia="Microsoft YaHei"/>
          <w:b/>
          <w:color w:val="2F5496"/>
          <w:sz w:val="26"/>
        </w:rPr>
        <w:t>3. 西方对东亚不同主体的差异化心态</w:t>
      </w:r>
    </w:p>
    <w:p>
      <w:pPr>
        <w:spacing w:line="384" w:lineRule="auto" w:after="80"/>
        <w:ind w:firstLine="420"/>
      </w:pPr>
      <w:r>
        <w:rPr>
          <w:rFonts w:ascii="SimSun" w:hAnsi="SimSun" w:eastAsia="SimSun"/>
          <w:sz w:val="22"/>
        </w:rPr>
        <w:t>西方对东亚各主体并非一视同仁，而是存在明显的层级化认知。对亚洲四小龙，西方通常将其视为“听话的优等生”，认可其财富水平、社会秩序与现代化成果，但骨子里仍认为它们是西方体系塑造出来的样板，因此始终带有俯视视角。对日本，西方则抱有更复杂的矛盾心态：一方面敬畏其工业实力、组织能力与文明深度，另一方面又因其战败国身份与半主权状态，将其视为“被圈养的强者”。而对中国，西方的态度最为复杂和尖锐，因为中国不是西方体系中被塑造出来的成功样板，而是一个走出自主发展道路的“不听话的破局者”，其崛起直接冲击了西方中心论和历史优越感。</w:t>
      </w:r>
    </w:p>
    <w:p>
      <w:pPr>
        <w:spacing w:before="240" w:after="80"/>
      </w:pPr>
      <w:r>
        <w:rPr>
          <w:rFonts w:ascii="Microsoft YaHei" w:hAnsi="Microsoft YaHei" w:eastAsia="Microsoft YaHei"/>
          <w:b/>
          <w:color w:val="2F5496"/>
          <w:sz w:val="26"/>
        </w:rPr>
        <w:t>4. 东亚的硬实力与现实困境</w:t>
      </w:r>
    </w:p>
    <w:p>
      <w:pPr>
        <w:spacing w:line="384" w:lineRule="auto" w:after="80"/>
        <w:ind w:firstLine="420"/>
      </w:pPr>
      <w:r>
        <w:rPr>
          <w:rFonts w:ascii="SimSun" w:hAnsi="SimSun" w:eastAsia="SimSun"/>
          <w:sz w:val="22"/>
        </w:rPr>
        <w:t>从硬实力角度看，中日韩（含台地区）在制造业能力、人口规模、教育水平、高端产业链和技术积累等方面的总和，已经构成一个极具潜力的东亚文明圈，纸面实力甚至在若干维度上超过美国。东亚社会所展现出的组织能力、产业纪律、工程思维和长期主义，也使西方天然感到警惕和恐惧。但现实困境在于，日韩台在安全与战略层面深度依附美国，东亚内部又长期存在历史恩怨、领土争议和身份认同分裂，再加上美国有意挑唆和维持地区内耗，使得这一文明圈虽具备巨大潜能，却难以真正整合，纸面潜力难以转化为现实力量。</w:t>
      </w:r>
    </w:p>
    <w:p>
      <w:pPr>
        <w:spacing w:before="240" w:after="80"/>
      </w:pPr>
      <w:r>
        <w:rPr>
          <w:rFonts w:ascii="Microsoft YaHei" w:hAnsi="Microsoft YaHei" w:eastAsia="Microsoft YaHei"/>
          <w:b/>
          <w:color w:val="2F5496"/>
          <w:sz w:val="26"/>
        </w:rPr>
        <w:t>5. 东亚联合难以实现的时代背景</w:t>
      </w:r>
    </w:p>
    <w:p>
      <w:pPr>
        <w:spacing w:line="384" w:lineRule="auto" w:after="80"/>
        <w:ind w:firstLine="420"/>
      </w:pPr>
      <w:r>
        <w:rPr>
          <w:rFonts w:ascii="SimSun" w:hAnsi="SimSun" w:eastAsia="SimSun"/>
          <w:sz w:val="22"/>
        </w:rPr>
        <w:t>东亚联合之所以难以实现，不仅是地缘政治结构所致，也与时代精神发生变化有关。全球化在相当程度上冲淡了国家边界与区域联合的野心，东亚各地年轻人普遍更重视个人生活、职业选择与个体体验，而不愿为宏大叙事付出代价，民族凝聚力与历史使命感已远不如二十世纪。与此同时，发达经济体长期富裕后，社会更强调价值观、个性表达与生活品质，而非集体性的斗争性目标，这也削弱了区域联合的现实动力。正是在这样的时代背景下，泛亚主义更多沦为一种历史性的想象，而非可以真正落地的政治工程。</w:t>
      </w:r>
    </w:p>
    <w:p>
      <w:pPr>
        <w:spacing w:before="200" w:line="312" w:lineRule="auto"/>
        <w:jc w:val="center"/>
      </w:pPr>
      <w:r>
        <w:rPr>
          <w:rFonts w:ascii="Microsoft YaHei" w:hAnsi="Microsoft YaHei" w:eastAsia="Microsoft YaHei"/>
          <w:b/>
          <w:color w:val="808080"/>
          <w:sz w:val="22"/>
        </w:rPr>
        <w:t>—— 完 ——</w:t>
      </w:r>
    </w:p>
    <w:sectPr w:rsidR="00FC693F" w:rsidRPr="0006063C" w:rsidSect="00034616">
      <w:pgSz w:w="12240" w:h="15840"/>
      <w:pgMar w:top="1247" w:right="1417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 w:eastAsia="SimSu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