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  <w:ind w:firstLine="0"/>
      </w:pPr>
      <w:r>
        <w:rPr>
          <w:rFonts w:ascii="SimSun" w:hAnsi="SimSun" w:eastAsia="SimSun"/>
          <w:sz w:val="24"/>
        </w:rPr>
        <w:t>这份内容核心围绕中国官员行政级别、地方权力架构、制度形成与运行逻辑展开，以湖南长沙及天心区为实例拆解从中央到街道的层级规则，补充中共与苏共的核心区别后，完整总结如下：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0"/>
      </w:pPr>
      <w:r>
        <w:rPr>
          <w:rFonts w:ascii="SimSun" w:hAnsi="SimSun" w:eastAsia="SimSun"/>
          <w:b/>
          <w:sz w:val="24"/>
        </w:rPr>
        <w:t>一、全国通用官员行政级别（从高到低核心档）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1. 国家级：正国级（总书记、国家主席等）、副国级（政治局委员、副总理等）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2. 省部级：正部级（省长、省委书记、中央部委部长）、副部级（副省长、副部长、副省级城市主官）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3. 厅局级：正厅级（地级市四套班子主官、省厅厅长、中央部委司长）、副厅级（地级市常委/副市长、省厅副厅长）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4. 县处级：正处级（区县四套班子主官、省厅处长）、副处级（区县常委/副区长、省厅副处长）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5. 乡科级：正科级（乡镇/街道主官、区县局局长）、副科级（乡镇副职、区县局副局长）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核心对等：省长=部长，地级市市长=省教育厅厅长，区长=省厅处长。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0"/>
      </w:pPr>
      <w:r>
        <w:rPr>
          <w:rFonts w:ascii="SimSun" w:hAnsi="SimSun" w:eastAsia="SimSun"/>
          <w:b/>
          <w:sz w:val="24"/>
        </w:rPr>
        <w:t>二、地级市/区县核心权力架构（以长沙、天心区为例）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1. 正厅级/正处级仅4人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• 地级市：市委书记、市长、市人大主任、市政协主席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• 区县：区委书记、区长、区人大主任、区政协主席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2. 副厅级/副处级核心群体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• 地级市：市委常委、副市长、市人大副主任、市政协副主席等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• 区县：区委常委、副区长、区人大副主任、区政协副主席等（区公安局长多入常，副处级）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3. 部门级别与实权鄙视链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• 区县局局长（教育/文旅/卫健等）均为正科级，无常委排号资格，仅负责执行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• 部门实权梯队：财政/发改＞环保/城管/交通＞卫健/教育/文旅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4. 纪委管辖规则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一级管一级，市纪委管副厅级及以下，正厅级由省纪委管辖；区委书记/区长由市纪委管辖，区县局局长由区纪委管辖。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0"/>
      </w:pPr>
      <w:r>
        <w:rPr>
          <w:rFonts w:ascii="SimSun" w:hAnsi="SimSun" w:eastAsia="SimSun"/>
          <w:b/>
          <w:sz w:val="24"/>
        </w:rPr>
        <w:t>三、“处长治国”的核心逻辑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处级是政策落地的实权核心层，省部级定大方向，处级制定具体执行细则、掌握政策解释权和审批权，是企业/个人办事的实际关卡；地方上的区县主官（正处级）就是基层“处长”，掌握各类审批、盖章的最终决定权。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0"/>
      </w:pPr>
      <w:r>
        <w:rPr>
          <w:rFonts w:ascii="SimSun" w:hAnsi="SimSun" w:eastAsia="SimSun"/>
          <w:b/>
          <w:sz w:val="24"/>
        </w:rPr>
        <w:t>四、区委/县委常委全国通用排名（实权优先）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1.书记→2.区长（兼副书记）→3.专职副书记→4.纪委书记→5.组织部长→6.宣传部长→7.政法委书记→8.公安局长→9.统战部长→10.区委办主任→11.常务副区长，后续为其他副区长/重要街道书记。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0"/>
      </w:pPr>
      <w:r>
        <w:rPr>
          <w:rFonts w:ascii="SimSun" w:hAnsi="SimSun" w:eastAsia="SimSun"/>
          <w:b/>
          <w:sz w:val="24"/>
        </w:rPr>
        <w:t>五、人大代表构成与运行实质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1. 区人大代表约200-300人，常委仅占5%左右，党员代表占64%-69%（近2/3），领导干部代表为核心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2. 基层代表为结构补充，无决策实权；人大核心作用是程序确认，党委定调后基本无否决，非实质制衡机构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3. 区人大主任/政协主席可由非党员担任（党外安排），但不进常委，无核心决策权。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0"/>
      </w:pPr>
      <w:r>
        <w:rPr>
          <w:rFonts w:ascii="SimSun" w:hAnsi="SimSun" w:eastAsia="SimSun"/>
          <w:b/>
          <w:sz w:val="24"/>
        </w:rPr>
        <w:t>六、“党委+人大+政府+政协”制度的形成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1. 基础阶段（1921-1949）：建党确立民主集中制，苏区形成党委+政府+工农兵代表会议雏形，第一代领导集体奠基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2. 定型阶段（1949-1956）：1954宪法明确四级政权、四套班子排位（党委＞人大＞政府＞政协），1956八大确立地方党委常委会为最高决策机构，核心设计者为毛、刘、周、彭真、董必武等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3. 完善阶段：改革开放后完善集体领导/任期制，十九大将“党领导一切”写入党章，成为国家根本领导制度。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0"/>
      </w:pPr>
      <w:r>
        <w:rPr>
          <w:rFonts w:ascii="SimSun" w:hAnsi="SimSun" w:eastAsia="SimSun"/>
          <w:b/>
          <w:sz w:val="24"/>
        </w:rPr>
        <w:t>七、制度核心实质与运行规则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1. 名义与实质：法理上人民代表大会制度是根本政治制度，实际运行核心是党领导一切，党委常委会是地方决策核心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2. 党员核心原则：区委常委100%为党员，区县局局长99%为党员，非党员无法进入核心权力层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3. 权力来源：地方主官权力来自上级党委（如区委书记权力来自市委），本级常委联合反对主官在现实中几乎不可能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4. 制度特点：决策快、执行强、能集中力量办大事，监督以党内自我监督（纪委）为主，外部制衡形式大于实质。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0"/>
      </w:pPr>
      <w:r>
        <w:rPr>
          <w:rFonts w:ascii="SimSun" w:hAnsi="SimSun" w:eastAsia="SimSun"/>
          <w:b/>
          <w:sz w:val="24"/>
        </w:rPr>
        <w:t>八、中共与苏共的核心区别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1. 领导核心与组织原则：中共坚持集体领导和民主集中制，确立核心领导集体的同时杜绝个人专断，且将“党领导一切”制度化、体系化并贯穿到基层；苏共后期逐渐偏离集体领导，出现个人集权问题，党组织对基层的领导力逐步弱化。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2. 党群联系与执政根基：中共始终强调扎根群众、以人民为中心，将党群联系作为执政根本，基层党组织深入区县、乡镇、街道，成为权力运行和政策落地的核心；苏共后期逐渐脱离群众，官僚化严重，基层党组织失去实际作用，执政根基松动。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3. 自我监督与纠错机制：中共建立了自上而下的纪委体系，实行一级管一级的严格监督规则，将党内自我监督作为核心监督方式，且不断完善反腐和纠错机制；苏共后期监督体系失效，腐败和官僚主义滋生，缺乏有效的自我革新和纠错能力。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4. 制度稳定性与传承性：中共从革命时期到新时代，始终延续并完善“党领导国家政权”的核心制度，框架稳定且不断细化落地规则，政策具有长期主义特征；苏共后期在制度和政策上出现反复，放弃了党对国家的核心领导，最终导致制度崩溃。</w:t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</w:r>
    </w:p>
    <w:p>
      <w:pPr>
        <w:spacing w:line="360" w:lineRule="auto" w:after="120"/>
        <w:ind w:firstLine="420"/>
      </w:pPr>
      <w:r>
        <w:rPr>
          <w:rFonts w:ascii="SimSun" w:hAnsi="SimSun" w:eastAsia="SimSun"/>
          <w:sz w:val="24"/>
        </w:rPr>
        <w:t>5. 干部管理与权力约束：中共实行严格的党管干部制度，干部任免由上级党委和本级常委会核心决策，且有任期制、退休制等约束；苏共后期干部制度僵化，形成特权阶层，干部任免脱离监督，权力缺乏有效约束。</w:t>
      </w:r>
    </w:p>
    <w:sectPr w:rsidR="00FC693F" w:rsidRPr="0006063C" w:rsidSect="00034616">
      <w:pgSz w:w="12240" w:h="15840"/>
      <w:pgMar w:top="1440" w:right="1803" w:bottom="1440" w:left="180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SimSu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