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默认"/>
        <w:bidi w:val="0"/>
        <w:spacing w:before="0" w:after="322" w:line="240" w:lineRule="auto"/>
        <w:ind w:left="0" w:right="0" w:firstLine="0"/>
        <w:jc w:val="left"/>
        <w:rPr>
          <w:rFonts w:ascii="Arial" w:cs="Arial" w:hAnsi="Arial" w:eastAsia="Arial"/>
          <w:b w:val="1"/>
          <w:bCs w:val="1"/>
          <w:sz w:val="36"/>
          <w:szCs w:val="36"/>
          <w:rtl w:val="0"/>
        </w:rPr>
      </w:pPr>
      <w:r>
        <w:rPr>
          <w:rFonts w:ascii="Arial" w:hAnsi="Arial"/>
          <w:b w:val="1"/>
          <w:bCs w:val="1"/>
          <w:sz w:val="36"/>
          <w:szCs w:val="36"/>
          <w:rtl w:val="0"/>
          <w:lang w:val="en-US"/>
        </w:rPr>
        <w:t>Individual Statement</w:t>
      </w:r>
    </w:p>
    <w:p>
      <w:pPr>
        <w:pStyle w:val="默认"/>
        <w:bidi w:val="0"/>
        <w:spacing w:before="0" w:after="299" w:line="240" w:lineRule="auto"/>
        <w:ind w:left="0" w:right="0" w:firstLine="0"/>
        <w:jc w:val="left"/>
        <w:rPr>
          <w:rFonts w:ascii="Arial" w:cs="Arial" w:hAnsi="Arial" w:eastAsia="Arial"/>
          <w:b w:val="1"/>
          <w:bCs w:val="1"/>
          <w:sz w:val="28"/>
          <w:szCs w:val="28"/>
          <w:rtl w:val="0"/>
        </w:rPr>
      </w:pPr>
      <w:r>
        <w:rPr>
          <w:rFonts w:ascii="Arial" w:hAnsi="Arial"/>
          <w:b w:val="1"/>
          <w:bCs w:val="1"/>
          <w:sz w:val="28"/>
          <w:szCs w:val="28"/>
          <w:rtl w:val="0"/>
        </w:rPr>
        <w:t xml:space="preserve">0 </w:t>
      </w:r>
      <w:r>
        <w:rPr>
          <w:rFonts w:ascii="Arial" w:hAnsi="Arial" w:hint="default"/>
          <w:b w:val="1"/>
          <w:bCs w:val="1"/>
          <w:sz w:val="28"/>
          <w:szCs w:val="28"/>
          <w:rtl w:val="0"/>
        </w:rPr>
        <w:t xml:space="preserve">– </w:t>
      </w:r>
      <w:r>
        <w:rPr>
          <w:rFonts w:ascii="Arial" w:hAnsi="Arial"/>
          <w:b w:val="1"/>
          <w:bCs w:val="1"/>
          <w:sz w:val="28"/>
          <w:szCs w:val="28"/>
          <w:rtl w:val="0"/>
          <w:lang w:val="fr-FR"/>
        </w:rPr>
        <w:t>Introduction</w:t>
      </w:r>
    </w:p>
    <w:p>
      <w:pPr>
        <w:pStyle w:val="默认"/>
        <w:bidi w:val="0"/>
        <w:spacing w:before="0" w:after="240" w:line="240" w:lineRule="auto"/>
        <w:ind w:left="0" w:right="0" w:firstLine="0"/>
        <w:jc w:val="left"/>
        <w:rPr>
          <w:rFonts w:ascii="Arial" w:cs="Arial" w:hAnsi="Arial" w:eastAsia="Arial"/>
          <w:rtl w:val="0"/>
        </w:rPr>
      </w:pPr>
      <w:r>
        <w:rPr>
          <w:rFonts w:ascii="Arial" w:hAnsi="Arial"/>
          <w:rtl w:val="0"/>
          <w:lang w:val="en-US"/>
        </w:rPr>
        <w:t>In this AcrossRCA project, our team explored memory loss, Alzheimer</w:t>
      </w:r>
      <w:r>
        <w:rPr>
          <w:rFonts w:ascii="Arial" w:hAnsi="Arial" w:hint="default"/>
          <w:rtl w:val="1"/>
        </w:rPr>
        <w:t>’</w:t>
      </w:r>
      <w:r>
        <w:rPr>
          <w:rFonts w:ascii="Arial" w:hAnsi="Arial"/>
          <w:rtl w:val="0"/>
          <w:lang w:val="en-US"/>
        </w:rPr>
        <w:t>s, and how memory is shaped in today</w:t>
      </w:r>
      <w:r>
        <w:rPr>
          <w:rFonts w:ascii="Arial" w:hAnsi="Arial" w:hint="default"/>
          <w:rtl w:val="1"/>
        </w:rPr>
        <w:t>’</w:t>
      </w:r>
      <w:r>
        <w:rPr>
          <w:rFonts w:ascii="Arial" w:hAnsi="Arial"/>
          <w:rtl w:val="0"/>
          <w:lang w:val="en-US"/>
        </w:rPr>
        <w:t>s media environment. We produced an installation combining animation and an interactive work. The animation focused more on narrative and emotion, while the interactive part was mainly my responsibility. In my own contribution, I focused on digital memory. I was interested not only in memory as an emotional or personal subject, but also in what memory becomes once it enters a digital system. For me, the most important part of this project was that it pushed me to think more clearly about the theme of Digital Being. It is not only about using digital tools to communicate an idea, but also about asking how memory, storage, repair, and even reality itself are changed by digital conditions.</w:t>
      </w:r>
    </w:p>
    <w:p>
      <w:pPr>
        <w:pStyle w:val="默认"/>
        <w:bidi w:val="0"/>
        <w:spacing w:before="0" w:after="299" w:line="240" w:lineRule="auto"/>
        <w:ind w:left="0" w:right="0" w:firstLine="0"/>
        <w:jc w:val="left"/>
        <w:rPr>
          <w:rFonts w:ascii="Arial" w:cs="Arial" w:hAnsi="Arial" w:eastAsia="Arial"/>
          <w:b w:val="1"/>
          <w:bCs w:val="1"/>
          <w:sz w:val="28"/>
          <w:szCs w:val="28"/>
          <w:rtl w:val="0"/>
        </w:rPr>
      </w:pPr>
      <w:r>
        <w:rPr>
          <w:rFonts w:ascii="Arial" w:hAnsi="Arial"/>
          <w:b w:val="1"/>
          <w:bCs w:val="1"/>
          <w:sz w:val="28"/>
          <w:szCs w:val="28"/>
          <w:rtl w:val="0"/>
          <w:lang w:val="ru-RU"/>
        </w:rPr>
        <w:t xml:space="preserve">1 </w:t>
      </w:r>
      <w:r>
        <w:rPr>
          <w:rFonts w:ascii="Arial" w:hAnsi="Arial" w:hint="default"/>
          <w:b w:val="1"/>
          <w:bCs w:val="1"/>
          <w:sz w:val="28"/>
          <w:szCs w:val="28"/>
          <w:rtl w:val="0"/>
        </w:rPr>
        <w:t xml:space="preserve">– </w:t>
      </w:r>
      <w:r>
        <w:rPr>
          <w:rFonts w:ascii="Arial" w:hAnsi="Arial"/>
          <w:b w:val="1"/>
          <w:bCs w:val="1"/>
          <w:sz w:val="28"/>
          <w:szCs w:val="28"/>
          <w:rtl w:val="0"/>
          <w:lang w:val="en-US"/>
        </w:rPr>
        <w:t>Reflection on the theme/issue at the centre of the project</w:t>
      </w:r>
    </w:p>
    <w:p>
      <w:pPr>
        <w:pStyle w:val="默认"/>
        <w:bidi w:val="0"/>
        <w:spacing w:before="0" w:after="240" w:line="240" w:lineRule="auto"/>
        <w:ind w:left="0" w:right="0" w:firstLine="0"/>
        <w:jc w:val="left"/>
        <w:rPr>
          <w:rFonts w:ascii="Arial" w:cs="Arial" w:hAnsi="Arial" w:eastAsia="Arial"/>
          <w:rtl w:val="0"/>
        </w:rPr>
      </w:pPr>
      <w:r>
        <w:rPr>
          <w:rFonts w:ascii="Arial" w:hAnsi="Arial"/>
          <w:rtl w:val="0"/>
          <w:lang w:val="en-US"/>
        </w:rPr>
        <w:t>Our project began with memory loss and Alzheimer</w:t>
      </w:r>
      <w:r>
        <w:rPr>
          <w:rFonts w:ascii="Arial" w:hAnsi="Arial" w:hint="default"/>
          <w:rtl w:val="1"/>
        </w:rPr>
        <w:t>’</w:t>
      </w:r>
      <w:r>
        <w:rPr>
          <w:rFonts w:ascii="Arial" w:hAnsi="Arial"/>
          <w:rtl w:val="0"/>
          <w:lang w:val="en-US"/>
        </w:rPr>
        <w:t>s. This was an important and sensitive starting point because these issues are closely connected to emotion, identity, and care. In our early research, we tried to approach them with empathy and caution rather than pretending that our project could solve anything or fully represent lived experience. I think this was necessary, because when working with dementia, a creative project needs to recognise its limits and avoid turning a painful condition into a simple visual effect.</w:t>
      </w:r>
    </w:p>
    <w:p>
      <w:pPr>
        <w:pStyle w:val="默认"/>
        <w:bidi w:val="0"/>
        <w:spacing w:before="0" w:after="240" w:line="240" w:lineRule="auto"/>
        <w:ind w:left="0" w:right="0" w:firstLine="0"/>
        <w:jc w:val="left"/>
        <w:rPr>
          <w:rFonts w:ascii="Arial" w:cs="Arial" w:hAnsi="Arial" w:eastAsia="Arial"/>
          <w:rtl w:val="0"/>
        </w:rPr>
      </w:pPr>
      <w:r>
        <w:rPr>
          <w:rFonts w:ascii="Arial" w:hAnsi="Arial"/>
          <w:rtl w:val="0"/>
          <w:lang w:val="en-US"/>
        </w:rPr>
        <w:t>However, as the project developed, I felt this was still not enough. Because the unit is called Digital Being, I kept asking what memory means under digital conditions. Today, digital media is often imagined as a stable container: if something is photographed, uploaded, or stored, it seems safe. But I became more interested in the opposite idea. Digital systems do not only preserve things; they also compress, reduce, overwrite, and reconstruct them. As Wolfgang Ernst argues, digital memory is shaped by technical structures rather than functioning as a neutral archive (Ernst, 2013).</w:t>
      </w:r>
    </w:p>
    <w:p>
      <w:pPr>
        <w:pStyle w:val="默认"/>
        <w:bidi w:val="0"/>
        <w:spacing w:before="0" w:after="240" w:line="240" w:lineRule="auto"/>
        <w:ind w:left="0" w:right="0" w:firstLine="0"/>
        <w:jc w:val="left"/>
        <w:rPr>
          <w:rFonts w:ascii="Arial" w:cs="Arial" w:hAnsi="Arial" w:eastAsia="Arial"/>
          <w:rtl w:val="0"/>
        </w:rPr>
      </w:pPr>
      <w:r>
        <w:rPr>
          <w:rFonts w:ascii="Arial" w:hAnsi="Arial"/>
          <w:rtl w:val="0"/>
          <w:lang w:val="en-US"/>
        </w:rPr>
        <w:t>This is why my own part of the project focused on digital memory itself. In my interactive installation, the system captures an image every 30 seconds, but the image is already changed the moment it enters the system. It is compressed, reduced in resolution, and simplified in colour information. Then the audience</w:t>
      </w:r>
      <w:r>
        <w:rPr>
          <w:rFonts w:ascii="Arial" w:hAnsi="Arial" w:hint="default"/>
          <w:rtl w:val="1"/>
        </w:rPr>
        <w:t>’</w:t>
      </w:r>
      <w:r>
        <w:rPr>
          <w:rFonts w:ascii="Arial" w:hAnsi="Arial"/>
          <w:rtl w:val="0"/>
          <w:lang w:val="en-US"/>
        </w:rPr>
        <w:t>s movement damages the image further through a motion heatmap, causing it to break into noise and flashing base-12 characters. Even when damaged areas seem to recover, the original information is not truly returning; those parts are regenerated rather than restored. This connects to Daniel Schacter</w:t>
      </w:r>
      <w:r>
        <w:rPr>
          <w:rFonts w:ascii="Arial" w:hAnsi="Arial" w:hint="default"/>
          <w:rtl w:val="1"/>
        </w:rPr>
        <w:t>’</w:t>
      </w:r>
      <w:r>
        <w:rPr>
          <w:rFonts w:ascii="Arial" w:hAnsi="Arial"/>
          <w:rtl w:val="0"/>
          <w:lang w:val="en-US"/>
        </w:rPr>
        <w:t>s idea that memory is reconstructive rather than fixed (Schacter, 2012). For me, this became the strongest way our project responded to Digital Being: not simply by using digital media, but by questioning the belief that digital memory is stable, objective, or true.</w:t>
      </w:r>
    </w:p>
    <w:p>
      <w:pPr>
        <w:pStyle w:val="默认"/>
        <w:bidi w:val="0"/>
        <w:spacing w:before="0" w:after="299" w:line="240" w:lineRule="auto"/>
        <w:ind w:left="0" w:right="0" w:firstLine="0"/>
        <w:jc w:val="left"/>
        <w:rPr>
          <w:rFonts w:ascii="Arial" w:cs="Arial" w:hAnsi="Arial" w:eastAsia="Arial"/>
          <w:b w:val="1"/>
          <w:bCs w:val="1"/>
          <w:sz w:val="28"/>
          <w:szCs w:val="28"/>
          <w:rtl w:val="0"/>
        </w:rPr>
      </w:pPr>
      <w:r>
        <w:rPr>
          <w:rFonts w:ascii="Arial" w:hAnsi="Arial"/>
          <w:b w:val="1"/>
          <w:bCs w:val="1"/>
          <w:sz w:val="28"/>
          <w:szCs w:val="28"/>
          <w:rtl w:val="0"/>
        </w:rPr>
        <w:t xml:space="preserve">2 </w:t>
      </w:r>
      <w:r>
        <w:rPr>
          <w:rFonts w:ascii="Arial" w:hAnsi="Arial" w:hint="default"/>
          <w:b w:val="1"/>
          <w:bCs w:val="1"/>
          <w:sz w:val="28"/>
          <w:szCs w:val="28"/>
          <w:rtl w:val="0"/>
        </w:rPr>
        <w:t xml:space="preserve">– </w:t>
      </w:r>
      <w:r>
        <w:rPr>
          <w:rFonts w:ascii="Arial" w:hAnsi="Arial"/>
          <w:b w:val="1"/>
          <w:bCs w:val="1"/>
          <w:sz w:val="28"/>
          <w:szCs w:val="28"/>
          <w:rtl w:val="0"/>
          <w:lang w:val="en-US"/>
        </w:rPr>
        <w:t>Reflection on collaboration</w:t>
      </w:r>
    </w:p>
    <w:p>
      <w:pPr>
        <w:pStyle w:val="默认"/>
        <w:bidi w:val="0"/>
        <w:spacing w:before="0" w:after="240" w:line="240" w:lineRule="auto"/>
        <w:ind w:left="0" w:right="0" w:firstLine="0"/>
        <w:jc w:val="left"/>
        <w:rPr>
          <w:rFonts w:ascii="Arial" w:cs="Arial" w:hAnsi="Arial" w:eastAsia="Arial"/>
          <w:rtl w:val="0"/>
        </w:rPr>
      </w:pPr>
      <w:r>
        <w:rPr>
          <w:rFonts w:ascii="Arial" w:hAnsi="Arial"/>
          <w:rtl w:val="0"/>
          <w:lang w:val="en-US"/>
        </w:rPr>
        <w:t>This collaboration was not completely smooth at the beginning. Our team came from different backgrounds, and we had different ways of thinking and working. Some members were more interested in animation and storytelling, while I was more focused on digital images, media systems, and interaction. We all shared an interest in memory, but we did not immediately agree on how the topic should develop or what it really meant to respond to Digital Being.</w:t>
      </w:r>
    </w:p>
    <w:p>
      <w:pPr>
        <w:pStyle w:val="默认"/>
        <w:bidi w:val="0"/>
        <w:spacing w:before="0" w:after="240" w:line="240" w:lineRule="auto"/>
        <w:ind w:left="0" w:right="0" w:firstLine="0"/>
        <w:jc w:val="left"/>
        <w:rPr>
          <w:rFonts w:ascii="Arial" w:cs="Arial" w:hAnsi="Arial" w:eastAsia="Arial"/>
          <w:rtl w:val="0"/>
        </w:rPr>
      </w:pPr>
      <w:r>
        <w:rPr>
          <w:rFonts w:ascii="Arial" w:hAnsi="Arial"/>
          <w:rtl w:val="0"/>
          <w:lang w:val="en-US"/>
        </w:rPr>
        <w:t>At one stage, the project felt quite divided. Different parts were moving forward at the same time, but they were not yet fully connected. Feedback also showed that the relationship between the outputs could be clearer. Looking back, I think this difficulty was useful because it forced us to define the project more carefully. Instead of treating the animation and the installation as two separate responses, we gradually found a stronger link between them through the relationship between human memory and digital memory. That link helped the project become more coherent.</w:t>
      </w:r>
    </w:p>
    <w:p>
      <w:pPr>
        <w:pStyle w:val="默认"/>
        <w:bidi w:val="0"/>
        <w:spacing w:before="0" w:after="240" w:line="240" w:lineRule="auto"/>
        <w:ind w:left="0" w:right="0" w:firstLine="0"/>
        <w:jc w:val="left"/>
        <w:rPr>
          <w:rFonts w:ascii="Arial" w:cs="Arial" w:hAnsi="Arial" w:eastAsia="Arial"/>
          <w:rtl w:val="0"/>
        </w:rPr>
      </w:pPr>
      <w:r>
        <w:rPr>
          <w:rFonts w:ascii="Arial" w:hAnsi="Arial"/>
          <w:rtl w:val="0"/>
          <w:lang w:val="en-US"/>
        </w:rPr>
        <w:t>My contribution was not only technical production. I also helped move the project from a mainly emotional discussion of memory toward a clearer exploration of digital memory. I developed several prototypes and built the final interactive installation. Through this process, I tried to make ideas about compression, image damage, and reconstruction part of the team</w:t>
      </w:r>
      <w:r>
        <w:rPr>
          <w:rFonts w:ascii="Arial" w:hAnsi="Arial" w:hint="default"/>
          <w:rtl w:val="1"/>
        </w:rPr>
        <w:t>’</w:t>
      </w:r>
      <w:r>
        <w:rPr>
          <w:rFonts w:ascii="Arial" w:hAnsi="Arial"/>
          <w:rtl w:val="0"/>
          <w:lang w:val="en-US"/>
        </w:rPr>
        <w:t>s central concept. This meant that my role was both practical and conceptual. I was not only building the system, but also using that system to sharpen the project</w:t>
      </w:r>
      <w:r>
        <w:rPr>
          <w:rFonts w:ascii="Arial" w:hAnsi="Arial" w:hint="default"/>
          <w:rtl w:val="1"/>
        </w:rPr>
        <w:t>’</w:t>
      </w:r>
      <w:r>
        <w:rPr>
          <w:rFonts w:ascii="Arial" w:hAnsi="Arial"/>
          <w:rtl w:val="0"/>
          <w:lang w:val="en-US"/>
        </w:rPr>
        <w:t>s response to the unit theme.</w:t>
      </w:r>
    </w:p>
    <w:p>
      <w:pPr>
        <w:pStyle w:val="默认"/>
        <w:bidi w:val="0"/>
        <w:spacing w:before="0" w:after="240" w:line="240" w:lineRule="auto"/>
        <w:ind w:left="0" w:right="0" w:firstLine="0"/>
        <w:jc w:val="left"/>
        <w:rPr>
          <w:rFonts w:ascii="Arial" w:cs="Arial" w:hAnsi="Arial" w:eastAsia="Arial"/>
          <w:rtl w:val="0"/>
        </w:rPr>
      </w:pPr>
      <w:r>
        <w:rPr>
          <w:rFonts w:ascii="Arial" w:hAnsi="Arial"/>
          <w:rtl w:val="0"/>
          <w:lang w:val="en-US"/>
        </w:rPr>
        <w:t>This experience showed me that collaboration is not simply about combining different skills. It is about building a shared language, which takes time, patience, and negotiation. In the end, I do not think our project worked because all our differences disappeared. It worked because some of those differences became useful: the animation carried the emotional and narrative side of memory loss, while the installation made digital memory feel unstable, damaged, and physical.</w:t>
      </w:r>
    </w:p>
    <w:p>
      <w:pPr>
        <w:pStyle w:val="默认"/>
        <w:bidi w:val="0"/>
        <w:spacing w:before="0" w:after="299" w:line="240" w:lineRule="auto"/>
        <w:ind w:left="0" w:right="0" w:firstLine="0"/>
        <w:jc w:val="left"/>
        <w:rPr>
          <w:rFonts w:ascii="Arial" w:cs="Arial" w:hAnsi="Arial" w:eastAsia="Arial"/>
          <w:b w:val="1"/>
          <w:bCs w:val="1"/>
          <w:sz w:val="28"/>
          <w:szCs w:val="28"/>
          <w:rtl w:val="0"/>
        </w:rPr>
      </w:pPr>
      <w:r>
        <w:rPr>
          <w:rFonts w:ascii="Arial" w:hAnsi="Arial"/>
          <w:b w:val="1"/>
          <w:bCs w:val="1"/>
          <w:sz w:val="28"/>
          <w:szCs w:val="28"/>
          <w:rtl w:val="0"/>
        </w:rPr>
        <w:t xml:space="preserve">3 </w:t>
      </w:r>
      <w:r>
        <w:rPr>
          <w:rFonts w:ascii="Arial" w:hAnsi="Arial" w:hint="default"/>
          <w:b w:val="1"/>
          <w:bCs w:val="1"/>
          <w:sz w:val="28"/>
          <w:szCs w:val="28"/>
          <w:rtl w:val="0"/>
        </w:rPr>
        <w:t xml:space="preserve">– </w:t>
      </w:r>
      <w:r>
        <w:rPr>
          <w:rFonts w:ascii="Arial" w:hAnsi="Arial"/>
          <w:b w:val="1"/>
          <w:bCs w:val="1"/>
          <w:sz w:val="28"/>
          <w:szCs w:val="28"/>
          <w:rtl w:val="0"/>
          <w:lang w:val="en-US"/>
        </w:rPr>
        <w:t>Reflection on the role of creative practice</w:t>
      </w:r>
    </w:p>
    <w:p>
      <w:pPr>
        <w:pStyle w:val="默认"/>
        <w:bidi w:val="0"/>
        <w:spacing w:before="0" w:after="240" w:line="240" w:lineRule="auto"/>
        <w:ind w:left="0" w:right="0" w:firstLine="0"/>
        <w:jc w:val="left"/>
        <w:rPr>
          <w:rFonts w:ascii="Arial" w:cs="Arial" w:hAnsi="Arial" w:eastAsia="Arial"/>
          <w:rtl w:val="0"/>
        </w:rPr>
      </w:pPr>
      <w:r>
        <w:rPr>
          <w:rFonts w:ascii="Arial" w:hAnsi="Arial"/>
          <w:rtl w:val="0"/>
          <w:lang w:val="en-US"/>
        </w:rPr>
        <w:t>This project changed the way I think about creative practice. I do not think the role of a creative practitioner is only to make an issue visible. What matters more is how you approach the issue, what position you take, and how your work shapes understanding. When working with a topic like dementia or memory loss, there is always a risk of turning pain into image, mood, or visual style. Because of this, I now think more seriously about responsibility in method. A creative practitioner should recognise that some experiences cannot be represented too simply, and that sensitivity is not only about message, but also about form.</w:t>
      </w:r>
    </w:p>
    <w:p>
      <w:pPr>
        <w:pStyle w:val="默认"/>
        <w:bidi w:val="0"/>
        <w:spacing w:before="0" w:after="240" w:line="240" w:lineRule="auto"/>
        <w:ind w:left="0" w:right="0" w:firstLine="0"/>
        <w:jc w:val="left"/>
        <w:rPr>
          <w:rFonts w:ascii="Arial" w:cs="Arial" w:hAnsi="Arial" w:eastAsia="Arial"/>
          <w:rtl w:val="0"/>
        </w:rPr>
      </w:pPr>
      <w:r>
        <w:rPr>
          <w:rFonts w:ascii="Arial" w:hAnsi="Arial"/>
          <w:rtl w:val="0"/>
          <w:lang w:val="en-US"/>
        </w:rPr>
        <w:t>At the same time, I think the value of creative practice lies in making abstract or hidden structures felt. In this project, the value of the work was not that it provided an answer to dementia or memory loss. Instead, it created a way of thinking through memory by making instability visible and physical. I increasingly believe that creative practice becomes meaningful when it can reveal systems that often appear neutral. Digital technology often seems reliable because it records, stores, and repairs. But through this project, I became more interested in showing that digital systems are not neutral at all. They preserve, but they also change. They repair, but they also create new errors. They store, but they also decide what is lost.</w:t>
      </w:r>
    </w:p>
    <w:p>
      <w:pPr>
        <w:pStyle w:val="默认"/>
        <w:bidi w:val="0"/>
        <w:spacing w:before="0" w:after="240" w:line="240" w:lineRule="auto"/>
        <w:ind w:left="0" w:right="0" w:firstLine="0"/>
        <w:jc w:val="left"/>
        <w:rPr>
          <w:rFonts w:ascii="Arial" w:cs="Arial" w:hAnsi="Arial" w:eastAsia="Arial"/>
          <w:rtl w:val="0"/>
        </w:rPr>
      </w:pPr>
      <w:r>
        <w:rPr>
          <w:rFonts w:ascii="Arial" w:hAnsi="Arial"/>
          <w:rtl w:val="0"/>
          <w:lang w:val="en-US"/>
        </w:rPr>
        <w:t>This experience has also made my own direction clearer. I am interested in using media structure itself to ask questions: what is memory, what is repair, and why do we trust digital storage so easily? My installation did not try to answer these questions directly. Instead, it created an unstable experience in which the viewer is recorded, but also compressed, damaged, and rebuilt. For me, this instability is important. It pushes people to think again about their relationship with technology. In this sense, I now see creative practice not as a way to offer simple solutions, but as a way to make hidden structures visible and open them to reflection.</w:t>
      </w:r>
    </w:p>
    <w:p>
      <w:pPr>
        <w:pStyle w:val="默认"/>
        <w:bidi w:val="0"/>
        <w:spacing w:before="0" w:after="299" w:line="240" w:lineRule="auto"/>
        <w:ind w:left="0" w:right="0" w:firstLine="0"/>
        <w:jc w:val="left"/>
        <w:rPr>
          <w:rFonts w:ascii="Arial" w:cs="Arial" w:hAnsi="Arial" w:eastAsia="Arial"/>
          <w:b w:val="1"/>
          <w:bCs w:val="1"/>
          <w:sz w:val="28"/>
          <w:szCs w:val="28"/>
          <w:rtl w:val="0"/>
        </w:rPr>
      </w:pPr>
      <w:r>
        <w:rPr>
          <w:rFonts w:ascii="Arial" w:hAnsi="Arial"/>
          <w:b w:val="1"/>
          <w:bCs w:val="1"/>
          <w:sz w:val="28"/>
          <w:szCs w:val="28"/>
          <w:rtl w:val="0"/>
        </w:rPr>
        <w:t xml:space="preserve">4 </w:t>
      </w:r>
      <w:r>
        <w:rPr>
          <w:rFonts w:ascii="Arial" w:hAnsi="Arial" w:hint="default"/>
          <w:b w:val="1"/>
          <w:bCs w:val="1"/>
          <w:sz w:val="28"/>
          <w:szCs w:val="28"/>
          <w:rtl w:val="0"/>
        </w:rPr>
        <w:t xml:space="preserve">– </w:t>
      </w:r>
      <w:r>
        <w:rPr>
          <w:rFonts w:ascii="Arial" w:hAnsi="Arial"/>
          <w:b w:val="1"/>
          <w:bCs w:val="1"/>
          <w:sz w:val="28"/>
          <w:szCs w:val="28"/>
          <w:rtl w:val="0"/>
          <w:lang w:val="fr-FR"/>
        </w:rPr>
        <w:t>Bibliography</w:t>
      </w:r>
    </w:p>
    <w:p>
      <w:pPr>
        <w:pStyle w:val="默认"/>
        <w:bidi w:val="0"/>
        <w:spacing w:before="0" w:after="240" w:line="240" w:lineRule="auto"/>
        <w:ind w:left="0" w:right="0" w:firstLine="0"/>
        <w:jc w:val="left"/>
        <w:rPr>
          <w:rtl w:val="0"/>
        </w:rPr>
      </w:pPr>
      <w:r>
        <w:rPr>
          <w:rFonts w:ascii="Arial" w:hAnsi="Arial"/>
          <w:rtl w:val="0"/>
        </w:rPr>
        <w:t xml:space="preserve">Astell, A. et al. (2019) </w:t>
      </w:r>
      <w:r>
        <w:rPr>
          <w:rFonts w:ascii="Arial" w:hAnsi="Arial" w:hint="default"/>
          <w:i w:val="1"/>
          <w:iCs w:val="1"/>
          <w:rtl w:val="1"/>
        </w:rPr>
        <w:t>‘</w:t>
      </w:r>
      <w:r>
        <w:rPr>
          <w:rFonts w:ascii="Arial" w:hAnsi="Arial"/>
          <w:i w:val="1"/>
          <w:iCs w:val="1"/>
          <w:rtl w:val="0"/>
          <w:lang w:val="en-US"/>
        </w:rPr>
        <w:t>Technology and Dementia: The Future is Now</w:t>
      </w:r>
      <w:r>
        <w:rPr>
          <w:rFonts w:ascii="Arial" w:hAnsi="Arial" w:hint="default"/>
          <w:i w:val="1"/>
          <w:iCs w:val="1"/>
          <w:rtl w:val="1"/>
        </w:rPr>
        <w:t>’</w:t>
      </w:r>
      <w:r>
        <w:rPr>
          <w:rFonts w:ascii="Arial" w:hAnsi="Arial"/>
          <w:rtl w:val="0"/>
          <w:lang w:val="en-US"/>
        </w:rPr>
        <w:t>, Dementia and Geriatric Cognitive Disorders, 47(3), pp. 131</w:t>
      </w:r>
      <w:r>
        <w:rPr>
          <w:rFonts w:ascii="Arial" w:hAnsi="Arial" w:hint="default"/>
          <w:rtl w:val="0"/>
        </w:rPr>
        <w:t>–</w:t>
      </w:r>
      <w:r>
        <w:rPr>
          <w:rFonts w:ascii="Arial" w:hAnsi="Arial"/>
          <w:rtl w:val="0"/>
        </w:rPr>
        <w:t>139.</w:t>
      </w:r>
      <w:r>
        <w:rPr>
          <w:rFonts w:ascii="Arial" w:cs="Arial" w:hAnsi="Arial" w:eastAsia="Arial"/>
          <w:rtl w:val="0"/>
        </w:rPr>
        <w:br w:type="textWrapping"/>
      </w:r>
      <w:r>
        <w:rPr>
          <w:rFonts w:ascii="Arial" w:hAnsi="Arial"/>
          <w:rtl w:val="0"/>
          <w:lang w:val="en-US"/>
        </w:rPr>
        <w:t>Ernst, W. (2013) Digital Memory and the Archive. Minneapolis: University of Minnesota Press.</w:t>
      </w:r>
      <w:r>
        <w:rPr>
          <w:rFonts w:ascii="Arial" w:cs="Arial" w:hAnsi="Arial" w:eastAsia="Arial"/>
          <w:rtl w:val="0"/>
        </w:rPr>
        <w:br w:type="textWrapping"/>
      </w:r>
      <w:r>
        <w:rPr>
          <w:rFonts w:ascii="Arial" w:hAnsi="Arial"/>
          <w:rtl w:val="0"/>
          <w:lang w:val="nl-NL"/>
        </w:rPr>
        <w:t xml:space="preserve">Schacter, D.L. (2012) </w:t>
      </w:r>
      <w:r>
        <w:rPr>
          <w:rFonts w:ascii="Arial" w:hAnsi="Arial" w:hint="default"/>
          <w:i w:val="1"/>
          <w:iCs w:val="1"/>
          <w:rtl w:val="1"/>
        </w:rPr>
        <w:t>‘</w:t>
      </w:r>
      <w:r>
        <w:rPr>
          <w:rFonts w:ascii="Arial" w:hAnsi="Arial"/>
          <w:i w:val="1"/>
          <w:iCs w:val="1"/>
          <w:rtl w:val="0"/>
          <w:lang w:val="en-US"/>
        </w:rPr>
        <w:t>Constructive memory: past and future</w:t>
      </w:r>
      <w:r>
        <w:rPr>
          <w:rFonts w:ascii="Arial" w:hAnsi="Arial" w:hint="default"/>
          <w:i w:val="1"/>
          <w:iCs w:val="1"/>
          <w:rtl w:val="1"/>
        </w:rPr>
        <w:t>’</w:t>
      </w:r>
      <w:r>
        <w:rPr>
          <w:rFonts w:ascii="Arial" w:hAnsi="Arial"/>
          <w:rtl w:val="0"/>
          <w:lang w:val="fr-FR"/>
        </w:rPr>
        <w:t>, Dialogues in Clinical Neuroscience, 14(1), pp. 7</w:t>
      </w:r>
      <w:r>
        <w:rPr>
          <w:rFonts w:ascii="Arial" w:hAnsi="Arial" w:hint="default"/>
          <w:rtl w:val="0"/>
        </w:rPr>
        <w:t>–</w:t>
      </w:r>
      <w:r>
        <w:rPr>
          <w:rFonts w:ascii="Arial" w:hAnsi="Arial"/>
          <w:rtl w:val="0"/>
        </w:rPr>
        <w:t>18.</w:t>
      </w:r>
      <w:r>
        <w:rPr>
          <w:rFonts w:ascii="Arial" w:cs="Arial" w:hAnsi="Arial" w:eastAsia="Arial"/>
          <w:rtl w:val="0"/>
        </w:rPr>
        <w:br w:type="textWrapping"/>
      </w:r>
      <w:r>
        <w:rPr>
          <w:rFonts w:ascii="Arial" w:hAnsi="Arial"/>
          <w:rtl w:val="0"/>
          <w:lang w:val="en-US"/>
        </w:rPr>
        <w:t xml:space="preserve">Schacter, D.L. (2021) </w:t>
      </w:r>
      <w:r>
        <w:rPr>
          <w:rFonts w:ascii="Arial" w:hAnsi="Arial" w:hint="default"/>
          <w:i w:val="1"/>
          <w:iCs w:val="1"/>
          <w:rtl w:val="1"/>
        </w:rPr>
        <w:t>‘</w:t>
      </w:r>
      <w:r>
        <w:rPr>
          <w:rFonts w:ascii="Arial" w:hAnsi="Arial"/>
          <w:i w:val="1"/>
          <w:iCs w:val="1"/>
          <w:rtl w:val="0"/>
          <w:lang w:val="en-US"/>
        </w:rPr>
        <w:t>Media, technology, and the sins of memory</w:t>
      </w:r>
      <w:r>
        <w:rPr>
          <w:rFonts w:ascii="Arial" w:hAnsi="Arial" w:hint="default"/>
          <w:i w:val="1"/>
          <w:iCs w:val="1"/>
          <w:rtl w:val="1"/>
        </w:rPr>
        <w:t>’</w:t>
      </w:r>
      <w:r>
        <w:rPr>
          <w:rFonts w:ascii="Arial" w:hAnsi="Arial"/>
          <w:rtl w:val="0"/>
          <w:lang w:val="en-US"/>
        </w:rPr>
        <w:t>, Memory, Mind &amp; Media, 1, e14.</w:t>
      </w:r>
      <w:r>
        <w:rPr>
          <w:rFonts w:ascii="Arial" w:cs="Arial" w:hAnsi="Arial" w:eastAsia="Arial"/>
          <w:rtl w:val="0"/>
        </w:rPr>
        <w:br w:type="textWrapping"/>
      </w:r>
      <w:r>
        <w:rPr>
          <w:rFonts w:ascii="Arial" w:hAnsi="Arial"/>
          <w:rtl w:val="0"/>
        </w:rPr>
        <w:t xml:space="preserve">Tringham, R. (2010) </w:t>
      </w:r>
      <w:r>
        <w:rPr>
          <w:rFonts w:ascii="Arial" w:hAnsi="Arial" w:hint="default"/>
          <w:i w:val="1"/>
          <w:iCs w:val="1"/>
          <w:rtl w:val="1"/>
        </w:rPr>
        <w:t>‘</w:t>
      </w:r>
      <w:r>
        <w:rPr>
          <w:rFonts w:ascii="Arial" w:hAnsi="Arial"/>
          <w:i w:val="1"/>
          <w:iCs w:val="1"/>
          <w:rtl w:val="0"/>
          <w:lang w:val="en-US"/>
        </w:rPr>
        <w:t>Forgetting and Remembering the Digital Experience and Digital Data</w:t>
      </w:r>
      <w:r>
        <w:rPr>
          <w:rFonts w:ascii="Arial" w:hAnsi="Arial" w:hint="default"/>
          <w:i w:val="1"/>
          <w:iCs w:val="1"/>
          <w:rtl w:val="1"/>
        </w:rPr>
        <w:t>’</w:t>
      </w:r>
      <w:r>
        <w:rPr>
          <w:rFonts w:ascii="Arial" w:hAnsi="Arial"/>
          <w:rtl w:val="0"/>
          <w:lang w:val="de-DE"/>
        </w:rPr>
        <w:t>, in Bori</w:t>
      </w:r>
      <w:r>
        <w:rPr>
          <w:rFonts w:ascii="Arial" w:hAnsi="Arial" w:hint="default"/>
          <w:rtl w:val="0"/>
        </w:rPr>
        <w:t>ć</w:t>
      </w:r>
      <w:r>
        <w:rPr>
          <w:rFonts w:ascii="Arial" w:hAnsi="Arial"/>
          <w:rtl w:val="0"/>
          <w:lang w:val="en-US"/>
        </w:rPr>
        <w:t>, D. (ed.) Archaeology and Memory. Oxford: Oxbow Books, pp. 68</w:t>
      </w:r>
      <w:r>
        <w:rPr>
          <w:rFonts w:ascii="Arial" w:hAnsi="Arial" w:hint="default"/>
          <w:rtl w:val="0"/>
        </w:rPr>
        <w:t>–</w:t>
      </w:r>
      <w:r>
        <w:rPr>
          <w:rFonts w:ascii="Arial" w:hAnsi="Arial"/>
          <w:rtl w:val="0"/>
        </w:rPr>
        <w:t>104.</w:t>
      </w:r>
    </w:p>
    <w:sectPr>
      <w:headerReference w:type="default" r:id="rId4"/>
      <w:footerReference w:type="default" r:id="rId5"/>
      <w:pgSz w:w="11900" w:h="16840" w:orient="portrait"/>
      <w:pgMar w:top="1440" w:right="1440" w:bottom="1240" w:left="1440" w:header="708" w:footer="708"/>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PingFang SC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PingFang SC Regular" w:cs="Arial Unicode MS" w:hAnsi="PingFang SC Regular"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默认">
    <w:name w:val="默认"/>
    <w:next w:val="默认"/>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PingFang SC Regular" w:cs="Arial Unicode MS" w:hAnsi="PingFang SC Regular"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PingFang SC Semibold"/>
        <a:ea typeface="PingFang SC Semibold"/>
        <a:cs typeface="PingFang SC Semibold"/>
      </a:majorFont>
      <a:minorFont>
        <a:latin typeface="PingFang SC Regular"/>
        <a:ea typeface="PingFang SC Regular"/>
        <a:cs typeface="PingFang SC Regular"/>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