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浅析湖南近代革命脉络线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纯粹聚焦于近代湖南地域这条极其生猛的“曾国藩湘军——华兴会——共产党”的宏观历史线索。这是一条充满了尚武、造反以及极致实用主义精神的发展脉络。结合我们之前的讨论（其中“华兴会”的部分属于来源之外的补充历史知识），以及来源中关于早期中共起家的隐秘细节，这条湖南近代的宏大线索可以这样梳理：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一、 湘军底色：权力的下移与湖南人的“特殊光环”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近代湖南人的强势崛起，源自曾国藩创立湘军。在20世纪初的那个年代，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湖南人自带一种类似于后来“港商、台商”的特殊光环，因为大家都知道“湖南是湘军的后代，湘军、淮军都是湖南哥”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1。这种血脉也深深植根于毛泽东的家族中。毛泽东并非传统意义上纯粹的底层贫农，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他的祖上其实是湘军的将领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，只是到了他父亲这一代，已经沦落为了没落的暴发户2。但这种骨子里的湘军基因，奠定了后来中国革命极度务实、重视武装的基本盘。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二、 华兴会与革命火种：从保清到造反（此段基于我们之前的交流补充）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（注：以下关于“华兴会”的具体内容为来源外的历史补充）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随着晚清没落，曾国藩那一套“保卫名教”的理论破产，但湘军尚武和经世致用的精神却在湖南传承了下来，并演变为激进的造反力量。1904年，湖南人黄兴、陈天华等人创立了“华兴会”，完成了湖南人从“旧式官僚军阀”向“近代资产阶级革命派”的阶级跨越。这群人敢打敢拼的造反基因，为后来湖南涌现出大量共产主义激进青年（如毛泽东、蔡和森等）铺平了思想和人脉的土壤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三、 共产党初创：湖南老乡网与“第一桶金”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到了建党时期，毛泽东将湖南上层精英的网络利用到了极致，完成了阶级跃升和建党资本的原始积累。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跨越阶层的跳板：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毛泽东娶了湖南高层知识分子杨昌济的女儿杨开慧，凭借岳父杨昌济写给当时红帮大佬、教育总长章士钊的介绍信，毛泽东才得以进入北京大学担任图书管理员，拿到了每月8块大洋的工资，从而步入了当时中国最高层的政治与思想圈子2, 3。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两万大洋的“天使投资”：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当时最流行的是“赴法勤工俭学”项目，毛泽东再次拿着岳父的介绍信去上海找章士钊化缘4, 5。章士钊利用自己的社会地位，募集了高达2万块现大洋的巨款，交由毛泽东和另一位湖南青年“银百”（彭璜）共同作为基金管理人5, 6。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建党的原始资本：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彭璜拿走一万大洋后精神失常并失踪，而毛泽东手里的这一万大洋并没有用于赴法留学，而是成为了中国共产党一大的差旅费和核心启动资金6, 7。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毛泽东正是凭借这笔巨资，以“金主”的身份跻身中共初创的核心圈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四、 红色政权的生存密码：务实到极致的毛氏兄弟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在这条湖南脉络的最终章，湘军那种不问教条、只看结果的务实精神，在毛泽东和其弟毛泽民身上体现得淋漓尽致：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现代金融与国债：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毛泽民作为中华苏维埃共和国的“央行行长”，在瑞金成功发行了第一期60万大洋、第二期120万大洋的“革命战争公债”，且供不应求、按时还本付息，支撑了红军的早期生存8, 9。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“赤白贸易”走私军火：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面对国民党的严密封锁，毛泽民成立了“中华钨矿公司”，以10块大洋一斤从苏区百姓手中收购钨矿砂，再以52块大洋的高价走私给负责“剿共”的广东军阀陈济棠10。陈济棠为了暴利，将这些战略物资转卖给了正在备战的纳粹德国（希特勒）制造大炮和坦克11。为了应付蒋介石的检查，红军甚至和陈济棠的粤军在边境演戏，“互抢”物资以完成钱货交割12。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延安时期的“特货”经济：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长征到达陕北后，为了在经济封锁中求生，八路军（如359旅在南泥湾）大面积种植被隐晦称为“特货”的鸦片（罂粟），向国统区大规模输出贩卖以换取资金13, 14。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总结：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从曾国藩的湘军立足，到华兴会的激进革命，再到毛泽东与共产党的极度实用主义，近代湖南人的这条主线，就是一部不断打破旧有阶级与规则、利用一切资源谋求生存与夺取天下的硬核历史。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您对这条线索中，毛泽东当年在北京大学作为“图书管理员”面临的现实困境，还是毛泽民与广东军阀陈济棠那段极具戏剧性的“演戏互抢物资”更感兴趣？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